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F9A24F" w14:textId="7A347DF9" w:rsidR="00033B01" w:rsidRPr="00BA5773" w:rsidRDefault="00033B01" w:rsidP="00140CDD">
      <w:pPr>
        <w:pStyle w:val="AuthorList"/>
        <w:spacing w:line="360" w:lineRule="auto"/>
        <w:jc w:val="center"/>
        <w:rPr>
          <w:sz w:val="32"/>
          <w:szCs w:val="32"/>
        </w:rPr>
      </w:pPr>
      <w:bookmarkStart w:id="0" w:name="_Hlk57646836"/>
      <w:bookmarkStart w:id="1" w:name="_Hlk57728531"/>
      <w:r w:rsidRPr="00BA5773">
        <w:rPr>
          <w:sz w:val="32"/>
          <w:szCs w:val="32"/>
        </w:rPr>
        <w:t xml:space="preserve">Photochemical Insights on Intramolecular Dye-Sensitized Free-Radical Processes with </w:t>
      </w:r>
      <w:r w:rsidR="0091375A" w:rsidRPr="00BA5773">
        <w:rPr>
          <w:sz w:val="32"/>
          <w:szCs w:val="32"/>
        </w:rPr>
        <w:t xml:space="preserve">a </w:t>
      </w:r>
      <w:r w:rsidRPr="00BA5773">
        <w:rPr>
          <w:sz w:val="32"/>
          <w:szCs w:val="32"/>
        </w:rPr>
        <w:t>Quinoline Antenna</w:t>
      </w:r>
      <w:r w:rsidR="0055698A" w:rsidRPr="00BA5773">
        <w:rPr>
          <w:sz w:val="32"/>
          <w:szCs w:val="32"/>
        </w:rPr>
        <w:t xml:space="preserve"> </w:t>
      </w:r>
    </w:p>
    <w:p w14:paraId="2E354987" w14:textId="1C636DE5" w:rsidR="00140CDD" w:rsidRPr="00BA5773" w:rsidRDefault="00132E1B" w:rsidP="00140CDD">
      <w:pPr>
        <w:pStyle w:val="AuthorList"/>
        <w:spacing w:after="120" w:line="360" w:lineRule="auto"/>
        <w:jc w:val="center"/>
        <w:rPr>
          <w:b w:val="0"/>
          <w:bCs/>
          <w:i/>
          <w:iCs/>
          <w:vertAlign w:val="superscript"/>
        </w:rPr>
      </w:pPr>
      <w:bookmarkStart w:id="2" w:name="_Hlk36639336"/>
      <w:bookmarkEnd w:id="0"/>
      <w:r w:rsidRPr="00BA5773">
        <w:rPr>
          <w:b w:val="0"/>
          <w:bCs/>
          <w:i/>
          <w:iCs/>
        </w:rPr>
        <w:t xml:space="preserve">Aviya </w:t>
      </w:r>
      <w:r w:rsidR="00940205" w:rsidRPr="00BA5773">
        <w:rPr>
          <w:b w:val="0"/>
          <w:bCs/>
          <w:i/>
          <w:iCs/>
        </w:rPr>
        <w:t>S</w:t>
      </w:r>
      <w:r w:rsidRPr="00BA5773">
        <w:rPr>
          <w:b w:val="0"/>
          <w:bCs/>
          <w:i/>
          <w:iCs/>
        </w:rPr>
        <w:t>. A</w:t>
      </w:r>
      <w:r w:rsidR="00025FA5" w:rsidRPr="00BA5773">
        <w:rPr>
          <w:b w:val="0"/>
          <w:bCs/>
          <w:i/>
          <w:iCs/>
        </w:rPr>
        <w:t>kari</w:t>
      </w:r>
      <w:r w:rsidR="002868E2" w:rsidRPr="00BA5773">
        <w:rPr>
          <w:b w:val="0"/>
          <w:bCs/>
          <w:i/>
          <w:iCs/>
        </w:rPr>
        <w:t xml:space="preserve">, </w:t>
      </w:r>
      <w:r w:rsidR="00284DAC">
        <w:rPr>
          <w:b w:val="0"/>
          <w:bCs/>
          <w:i/>
          <w:iCs/>
        </w:rPr>
        <w:t xml:space="preserve">Dr. </w:t>
      </w:r>
      <w:r w:rsidR="001916FD" w:rsidRPr="00BA5773">
        <w:rPr>
          <w:b w:val="0"/>
          <w:bCs/>
          <w:i/>
          <w:iCs/>
        </w:rPr>
        <w:t>Gregory K. Hodgso</w:t>
      </w:r>
      <w:r w:rsidR="00EB4A4A" w:rsidRPr="00BA5773">
        <w:rPr>
          <w:b w:val="0"/>
          <w:bCs/>
          <w:i/>
          <w:iCs/>
        </w:rPr>
        <w:t>n</w:t>
      </w:r>
      <w:r w:rsidR="001916FD" w:rsidRPr="00BA5773">
        <w:rPr>
          <w:b w:val="0"/>
          <w:bCs/>
          <w:i/>
          <w:iCs/>
        </w:rPr>
        <w:t>,</w:t>
      </w:r>
      <w:r w:rsidR="00A1685E" w:rsidRPr="00BA5773">
        <w:rPr>
          <w:b w:val="0"/>
          <w:bCs/>
          <w:i/>
          <w:iCs/>
        </w:rPr>
        <w:t xml:space="preserve"> </w:t>
      </w:r>
      <w:r w:rsidR="00033B01" w:rsidRPr="00BA5773">
        <w:rPr>
          <w:b w:val="0"/>
          <w:bCs/>
          <w:i/>
          <w:iCs/>
        </w:rPr>
        <w:t xml:space="preserve">Karol P. Golian, </w:t>
      </w:r>
      <w:r w:rsidR="00284DAC">
        <w:rPr>
          <w:b w:val="0"/>
          <w:bCs/>
          <w:i/>
          <w:iCs/>
        </w:rPr>
        <w:t xml:space="preserve">Prof. </w:t>
      </w:r>
      <w:r w:rsidR="00FB6FA7" w:rsidRPr="00BA5773">
        <w:rPr>
          <w:b w:val="0"/>
          <w:bCs/>
          <w:i/>
          <w:iCs/>
        </w:rPr>
        <w:t>Stefania Impellizzeri</w:t>
      </w:r>
      <w:r w:rsidR="00746505" w:rsidRPr="00BA5773">
        <w:rPr>
          <w:b w:val="0"/>
          <w:bCs/>
          <w:i/>
          <w:iCs/>
          <w:vertAlign w:val="superscript"/>
        </w:rPr>
        <w:t>*</w:t>
      </w:r>
      <w:bookmarkEnd w:id="2"/>
    </w:p>
    <w:p w14:paraId="36BF1714" w14:textId="3AC68325" w:rsidR="00140CDD" w:rsidRPr="00BA5773" w:rsidRDefault="00140CDD" w:rsidP="00140CDD">
      <w:pPr>
        <w:pStyle w:val="AuthorList"/>
        <w:spacing w:after="120" w:line="360" w:lineRule="auto"/>
        <w:rPr>
          <w:b w:val="0"/>
          <w:bCs/>
        </w:rPr>
      </w:pPr>
      <w:r w:rsidRPr="00BA5773">
        <w:rPr>
          <w:b w:val="0"/>
          <w:bCs/>
        </w:rPr>
        <w:t>Laboratory for Nanomaterials and Molecular Plasmonics, Department of Chemistry and Biology, Ryerson University, 350 Victoria St., Toronto, ON, M5B 2K3, Canada.</w:t>
      </w:r>
    </w:p>
    <w:p w14:paraId="255DD5CF" w14:textId="62BB240F" w:rsidR="00D777AF" w:rsidRDefault="00D777AF" w:rsidP="00140CDD">
      <w:pPr>
        <w:pStyle w:val="FAAuthorInfoSubtitle"/>
        <w:spacing w:line="360" w:lineRule="auto"/>
      </w:pPr>
      <w:r>
        <w:t>Authors</w:t>
      </w:r>
    </w:p>
    <w:p w14:paraId="406349C3" w14:textId="08F158C5" w:rsidR="00D777AF" w:rsidRDefault="00D777AF" w:rsidP="00140CDD">
      <w:pPr>
        <w:pStyle w:val="FAAuthorInfoSubtitle"/>
        <w:spacing w:line="360" w:lineRule="auto"/>
        <w:rPr>
          <w:b w:val="0"/>
          <w:bCs/>
        </w:rPr>
      </w:pPr>
      <w:r>
        <w:rPr>
          <w:b w:val="0"/>
          <w:bCs/>
        </w:rPr>
        <w:t>Aviya S. Akari, ORCID</w:t>
      </w:r>
      <w:r w:rsidR="00375AF9">
        <w:rPr>
          <w:b w:val="0"/>
          <w:bCs/>
        </w:rPr>
        <w:t xml:space="preserve">, </w:t>
      </w:r>
      <w:r w:rsidR="00375AF9" w:rsidRPr="00375AF9">
        <w:rPr>
          <w:b w:val="0"/>
          <w:bCs/>
        </w:rPr>
        <w:t>0000-0003-4924-0008</w:t>
      </w:r>
    </w:p>
    <w:p w14:paraId="635A0EA4" w14:textId="4B44824B" w:rsidR="00D777AF" w:rsidRDefault="00D777AF" w:rsidP="00140CDD">
      <w:pPr>
        <w:pStyle w:val="FAAuthorInfoSubtitle"/>
        <w:spacing w:line="360" w:lineRule="auto"/>
        <w:rPr>
          <w:b w:val="0"/>
          <w:bCs/>
        </w:rPr>
      </w:pPr>
      <w:r>
        <w:rPr>
          <w:b w:val="0"/>
          <w:bCs/>
        </w:rPr>
        <w:t>Dr. Gregory K. Hodgson, ORCID</w:t>
      </w:r>
      <w:r w:rsidR="00375AF9">
        <w:rPr>
          <w:b w:val="0"/>
          <w:bCs/>
        </w:rPr>
        <w:t xml:space="preserve"> </w:t>
      </w:r>
      <w:r w:rsidR="00375AF9" w:rsidRPr="00375AF9">
        <w:rPr>
          <w:b w:val="0"/>
          <w:bCs/>
        </w:rPr>
        <w:t>0000-0003-0033-0889</w:t>
      </w:r>
    </w:p>
    <w:p w14:paraId="79863642" w14:textId="4EE5D6A7" w:rsidR="00D777AF" w:rsidRDefault="00D777AF" w:rsidP="00140CDD">
      <w:pPr>
        <w:pStyle w:val="FAAuthorInfoSubtitle"/>
        <w:spacing w:line="360" w:lineRule="auto"/>
        <w:rPr>
          <w:b w:val="0"/>
          <w:bCs/>
        </w:rPr>
      </w:pPr>
      <w:r>
        <w:rPr>
          <w:b w:val="0"/>
          <w:bCs/>
        </w:rPr>
        <w:t>Karol P. Golian, ORCID</w:t>
      </w:r>
      <w:r w:rsidR="00375AF9">
        <w:rPr>
          <w:b w:val="0"/>
          <w:bCs/>
        </w:rPr>
        <w:t xml:space="preserve"> </w:t>
      </w:r>
      <w:r w:rsidR="00375AF9" w:rsidRPr="00375AF9">
        <w:rPr>
          <w:b w:val="0"/>
          <w:bCs/>
        </w:rPr>
        <w:t>0000-0002-1024-4960</w:t>
      </w:r>
    </w:p>
    <w:p w14:paraId="158D0398" w14:textId="40F06178" w:rsidR="00140CDD" w:rsidRPr="00BA5773" w:rsidRDefault="00140CDD" w:rsidP="00140CDD">
      <w:pPr>
        <w:pStyle w:val="FAAuthorInfoSubtitle"/>
        <w:spacing w:line="360" w:lineRule="auto"/>
      </w:pPr>
      <w:r w:rsidRPr="00BA5773">
        <w:t>Corresponding Author</w:t>
      </w:r>
    </w:p>
    <w:p w14:paraId="028A8382" w14:textId="3BF23445" w:rsidR="00140CDD" w:rsidRDefault="00140CDD" w:rsidP="00140CDD">
      <w:pPr>
        <w:pStyle w:val="FACorrespondingAuthorFootnote"/>
        <w:spacing w:after="240" w:line="360" w:lineRule="auto"/>
        <w:jc w:val="left"/>
      </w:pPr>
      <w:r w:rsidRPr="00BA5773">
        <w:t>*</w:t>
      </w:r>
      <w:r w:rsidR="00D777AF">
        <w:t xml:space="preserve">Prof. </w:t>
      </w:r>
      <w:r w:rsidRPr="00BA5773">
        <w:t>Stefania Impellizzeri</w:t>
      </w:r>
      <w:r w:rsidR="00502BFE" w:rsidRPr="00BA5773">
        <w:t xml:space="preserve">, </w:t>
      </w:r>
      <w:r w:rsidRPr="00BA5773">
        <w:t xml:space="preserve">Email: </w:t>
      </w:r>
      <w:hyperlink r:id="rId8" w:history="1">
        <w:r w:rsidR="00D777AF" w:rsidRPr="00C363EE">
          <w:rPr>
            <w:rStyle w:val="Hyperlink"/>
          </w:rPr>
          <w:t>simpellizzeri@ryerson.ca</w:t>
        </w:r>
      </w:hyperlink>
      <w:r w:rsidR="00D777AF">
        <w:t xml:space="preserve">, ORCID </w:t>
      </w:r>
      <w:r w:rsidR="00D777AF" w:rsidRPr="00D777AF">
        <w:t>0000-0002-1234-1051</w:t>
      </w:r>
    </w:p>
    <w:bookmarkEnd w:id="1"/>
    <w:p w14:paraId="4DB10602" w14:textId="49041BAD" w:rsidR="008E2B54" w:rsidRPr="00BA5773" w:rsidRDefault="00EA3D3C" w:rsidP="00140CDD">
      <w:pPr>
        <w:spacing w:before="0" w:after="0"/>
        <w:rPr>
          <w:b/>
          <w:bCs/>
          <w:sz w:val="28"/>
          <w:szCs w:val="28"/>
        </w:rPr>
      </w:pPr>
      <w:r w:rsidRPr="00BA5773">
        <w:rPr>
          <w:b/>
          <w:bCs/>
          <w:sz w:val="28"/>
          <w:szCs w:val="28"/>
        </w:rPr>
        <w:t>Abstract</w:t>
      </w:r>
    </w:p>
    <w:p w14:paraId="43BEB683" w14:textId="0E657F8D" w:rsidR="001C20B8" w:rsidRPr="00BA5773" w:rsidRDefault="006C455E" w:rsidP="00695CAF">
      <w:pPr>
        <w:autoSpaceDE w:val="0"/>
        <w:autoSpaceDN w:val="0"/>
        <w:adjustRightInd w:val="0"/>
        <w:spacing w:beforeLines="120" w:before="288" w:afterLines="120" w:after="288" w:line="360" w:lineRule="auto"/>
        <w:jc w:val="both"/>
        <w:rPr>
          <w:rFonts w:asciiTheme="majorBidi" w:hAnsiTheme="majorBidi" w:cstheme="majorBidi"/>
          <w:szCs w:val="24"/>
        </w:rPr>
      </w:pPr>
      <w:r w:rsidRPr="00BA5773">
        <w:rPr>
          <w:rFonts w:asciiTheme="majorBidi" w:hAnsiTheme="majorBidi" w:cstheme="majorBidi"/>
          <w:szCs w:val="24"/>
          <w:lang w:eastAsia="zh-CN"/>
        </w:rPr>
        <w:t>Organic fluorophores contain</w:t>
      </w:r>
      <w:r w:rsidR="00CA4845" w:rsidRPr="00BA5773">
        <w:rPr>
          <w:rFonts w:asciiTheme="majorBidi" w:hAnsiTheme="majorBidi" w:cstheme="majorBidi"/>
          <w:szCs w:val="24"/>
          <w:lang w:eastAsia="zh-CN"/>
        </w:rPr>
        <w:t>ing</w:t>
      </w:r>
      <w:r w:rsidRPr="00BA5773">
        <w:rPr>
          <w:rFonts w:asciiTheme="majorBidi" w:hAnsiTheme="majorBidi" w:cstheme="majorBidi"/>
          <w:szCs w:val="24"/>
          <w:lang w:eastAsia="zh-CN"/>
        </w:rPr>
        <w:t xml:space="preserve"> paramagnetic nitroxides</w:t>
      </w:r>
      <w:r w:rsidR="00CA4845" w:rsidRPr="00BA5773">
        <w:rPr>
          <w:rFonts w:asciiTheme="majorBidi" w:hAnsiTheme="majorBidi" w:cstheme="majorBidi"/>
          <w:szCs w:val="24"/>
          <w:lang w:eastAsia="zh-CN"/>
        </w:rPr>
        <w:t xml:space="preserve"> covalently</w:t>
      </w:r>
      <w:r w:rsidRPr="00BA5773">
        <w:rPr>
          <w:rFonts w:asciiTheme="majorBidi" w:hAnsiTheme="majorBidi" w:cstheme="majorBidi"/>
          <w:szCs w:val="24"/>
          <w:lang w:eastAsia="zh-CN"/>
        </w:rPr>
        <w:t xml:space="preserve"> tethered to the chromophoric core show a dramatic reduction </w:t>
      </w:r>
      <w:r w:rsidR="005125FF" w:rsidRPr="00BA5773">
        <w:rPr>
          <w:rFonts w:asciiTheme="majorBidi" w:hAnsiTheme="majorBidi" w:cstheme="majorBidi"/>
          <w:szCs w:val="24"/>
          <w:lang w:eastAsia="zh-CN"/>
        </w:rPr>
        <w:t>in</w:t>
      </w:r>
      <w:r w:rsidRPr="00BA5773">
        <w:rPr>
          <w:rFonts w:asciiTheme="majorBidi" w:hAnsiTheme="majorBidi" w:cstheme="majorBidi"/>
          <w:szCs w:val="24"/>
          <w:lang w:eastAsia="zh-CN"/>
        </w:rPr>
        <w:t xml:space="preserve"> fluorescence due to intramolecular quenching of their excited states. Nonetheless, </w:t>
      </w:r>
      <w:bookmarkStart w:id="3" w:name="_Hlk57731281"/>
      <w:r w:rsidRPr="00BA5773">
        <w:rPr>
          <w:rFonts w:asciiTheme="majorBidi" w:hAnsiTheme="majorBidi" w:cstheme="majorBidi"/>
          <w:szCs w:val="24"/>
          <w:lang w:eastAsia="zh-CN"/>
        </w:rPr>
        <w:t xml:space="preserve">trapping of </w:t>
      </w:r>
      <w:r w:rsidR="00CA4845" w:rsidRPr="00BA5773">
        <w:rPr>
          <w:rFonts w:asciiTheme="majorBidi" w:hAnsiTheme="majorBidi" w:cstheme="majorBidi"/>
          <w:szCs w:val="24"/>
          <w:lang w:eastAsia="zh-CN"/>
        </w:rPr>
        <w:t>hydrogen</w:t>
      </w:r>
      <w:r w:rsidR="00857F2B" w:rsidRPr="00BA5773">
        <w:rPr>
          <w:rFonts w:asciiTheme="majorBidi" w:hAnsiTheme="majorBidi" w:cstheme="majorBidi"/>
          <w:szCs w:val="24"/>
          <w:lang w:eastAsia="zh-CN"/>
        </w:rPr>
        <w:t xml:space="preserve"> atoms</w:t>
      </w:r>
      <w:r w:rsidR="00CA4845" w:rsidRPr="00BA5773">
        <w:rPr>
          <w:rFonts w:asciiTheme="majorBidi" w:hAnsiTheme="majorBidi" w:cstheme="majorBidi"/>
          <w:szCs w:val="24"/>
          <w:lang w:eastAsia="zh-CN"/>
        </w:rPr>
        <w:t xml:space="preserve"> or </w:t>
      </w:r>
      <w:r w:rsidRPr="00BA5773">
        <w:rPr>
          <w:rFonts w:asciiTheme="majorBidi" w:hAnsiTheme="majorBidi" w:cstheme="majorBidi"/>
          <w:szCs w:val="24"/>
          <w:lang w:eastAsia="zh-CN"/>
        </w:rPr>
        <w:t xml:space="preserve">carbon-centered radicals by the nitroxide suppresses the quenching pathway and </w:t>
      </w:r>
      <w:r w:rsidR="00832268" w:rsidRPr="00BA5773">
        <w:rPr>
          <w:rFonts w:asciiTheme="majorBidi" w:hAnsiTheme="majorBidi" w:cstheme="majorBidi"/>
          <w:szCs w:val="24"/>
          <w:lang w:eastAsia="zh-CN"/>
        </w:rPr>
        <w:t>restores the fluorescence, an effect that</w:t>
      </w:r>
      <w:r w:rsidRPr="00BA5773">
        <w:rPr>
          <w:rFonts w:asciiTheme="majorBidi" w:hAnsiTheme="majorBidi" w:cstheme="majorBidi"/>
          <w:szCs w:val="24"/>
          <w:lang w:eastAsia="zh-CN"/>
        </w:rPr>
        <w:t xml:space="preserve"> can be used to </w:t>
      </w:r>
      <w:r w:rsidR="00CA4845" w:rsidRPr="00BA5773">
        <w:rPr>
          <w:rFonts w:asciiTheme="majorBidi" w:hAnsiTheme="majorBidi" w:cstheme="majorBidi"/>
          <w:szCs w:val="24"/>
          <w:lang w:eastAsia="zh-CN"/>
        </w:rPr>
        <w:t xml:space="preserve">monitor </w:t>
      </w:r>
      <w:bookmarkEnd w:id="3"/>
      <w:r w:rsidRPr="00BA5773">
        <w:rPr>
          <w:rFonts w:asciiTheme="majorBidi" w:hAnsiTheme="majorBidi" w:cstheme="majorBidi"/>
          <w:szCs w:val="24"/>
          <w:lang w:eastAsia="zh-CN"/>
        </w:rPr>
        <w:t>radical scavenging</w:t>
      </w:r>
      <w:r w:rsidR="00CA4845" w:rsidRPr="00BA5773">
        <w:rPr>
          <w:rFonts w:asciiTheme="majorBidi" w:hAnsiTheme="majorBidi" w:cstheme="majorBidi"/>
          <w:szCs w:val="24"/>
          <w:lang w:eastAsia="zh-CN"/>
        </w:rPr>
        <w:t xml:space="preserve"> process</w:t>
      </w:r>
      <w:r w:rsidR="00857F2B" w:rsidRPr="00BA5773">
        <w:rPr>
          <w:rFonts w:asciiTheme="majorBidi" w:hAnsiTheme="majorBidi" w:cstheme="majorBidi"/>
          <w:szCs w:val="24"/>
          <w:lang w:eastAsia="zh-CN"/>
        </w:rPr>
        <w:t>es</w:t>
      </w:r>
      <w:r w:rsidR="001916FD" w:rsidRPr="00BA5773">
        <w:rPr>
          <w:rFonts w:asciiTheme="majorBidi" w:hAnsiTheme="majorBidi" w:cstheme="majorBidi"/>
          <w:szCs w:val="24"/>
          <w:lang w:eastAsia="zh-CN"/>
        </w:rPr>
        <w:t xml:space="preserve">. </w:t>
      </w:r>
      <w:r w:rsidRPr="00BA5773">
        <w:rPr>
          <w:rFonts w:asciiTheme="majorBidi" w:hAnsiTheme="majorBidi" w:cstheme="majorBidi"/>
          <w:szCs w:val="24"/>
        </w:rPr>
        <w:t xml:space="preserve">Herein, we synthesized </w:t>
      </w:r>
      <w:r w:rsidR="0091375A" w:rsidRPr="00BA5773">
        <w:rPr>
          <w:rFonts w:asciiTheme="majorBidi" w:hAnsiTheme="majorBidi" w:cstheme="majorBidi"/>
          <w:szCs w:val="24"/>
          <w:lang w:eastAsia="zh-CN"/>
        </w:rPr>
        <w:t>a</w:t>
      </w:r>
      <w:r w:rsidRPr="00BA5773">
        <w:rPr>
          <w:rFonts w:asciiTheme="majorBidi" w:hAnsiTheme="majorBidi" w:cstheme="majorBidi"/>
          <w:szCs w:val="24"/>
          <w:lang w:eastAsia="zh-CN"/>
        </w:rPr>
        <w:t xml:space="preserve"> prefluorescent radical probe in which a 2,2,6,6-tetramethylpiperidine-</w:t>
      </w:r>
      <w:r w:rsidRPr="00BA5773">
        <w:rPr>
          <w:rFonts w:asciiTheme="majorBidi" w:hAnsiTheme="majorBidi" w:cstheme="majorBidi"/>
          <w:i/>
          <w:iCs/>
          <w:szCs w:val="24"/>
          <w:lang w:eastAsia="zh-CN"/>
        </w:rPr>
        <w:t>N</w:t>
      </w:r>
      <w:r w:rsidRPr="00BA5773">
        <w:rPr>
          <w:rFonts w:asciiTheme="majorBidi" w:hAnsiTheme="majorBidi" w:cstheme="majorBidi"/>
          <w:szCs w:val="24"/>
          <w:lang w:eastAsia="zh-CN"/>
        </w:rPr>
        <w:t xml:space="preserve">-oxyl (TEMPO) moiety was chemically coupled </w:t>
      </w:r>
      <w:r w:rsidRPr="00BA5773">
        <w:rPr>
          <w:rFonts w:asciiTheme="majorBidi" w:hAnsiTheme="majorBidi" w:cstheme="majorBidi"/>
          <w:szCs w:val="24"/>
        </w:rPr>
        <w:t xml:space="preserve">to a </w:t>
      </w:r>
      <w:r w:rsidR="0091375A" w:rsidRPr="00BA5773">
        <w:rPr>
          <w:rFonts w:asciiTheme="majorBidi" w:hAnsiTheme="majorBidi" w:cstheme="majorBidi"/>
          <w:szCs w:val="24"/>
        </w:rPr>
        <w:t xml:space="preserve">quinoline chromophore, </w:t>
      </w:r>
      <w:r w:rsidR="00E60B83" w:rsidRPr="00BA5773">
        <w:rPr>
          <w:rFonts w:asciiTheme="majorBidi" w:hAnsiTheme="majorBidi" w:cstheme="majorBidi"/>
          <w:szCs w:val="24"/>
        </w:rPr>
        <w:t xml:space="preserve">which can </w:t>
      </w:r>
      <w:r w:rsidR="00E60B83" w:rsidRPr="00BA5773">
        <w:rPr>
          <w:rFonts w:asciiTheme="majorBidi" w:hAnsiTheme="majorBidi" w:cstheme="majorBidi"/>
          <w:szCs w:val="24"/>
          <w:lang w:eastAsia="zh-CN"/>
        </w:rPr>
        <w:t>directly sensitize</w:t>
      </w:r>
      <w:r w:rsidRPr="00BA5773">
        <w:rPr>
          <w:rFonts w:asciiTheme="majorBidi" w:hAnsiTheme="majorBidi" w:cstheme="majorBidi"/>
          <w:szCs w:val="24"/>
          <w:lang w:eastAsia="zh-CN"/>
        </w:rPr>
        <w:t xml:space="preserve"> </w:t>
      </w:r>
      <w:r w:rsidRPr="00BA5773">
        <w:rPr>
          <w:rFonts w:asciiTheme="majorBidi" w:hAnsiTheme="majorBidi" w:cstheme="majorBidi"/>
          <w:szCs w:val="24"/>
        </w:rPr>
        <w:t xml:space="preserve">TEMPO </w:t>
      </w:r>
      <w:r w:rsidRPr="00BA5773">
        <w:rPr>
          <w:rFonts w:asciiTheme="majorBidi" w:hAnsiTheme="majorBidi" w:cstheme="majorBidi"/>
          <w:szCs w:val="24"/>
          <w:lang w:eastAsia="zh-CN"/>
        </w:rPr>
        <w:t>via energy transfer</w:t>
      </w:r>
      <w:r w:rsidR="00E60B83" w:rsidRPr="00BA5773">
        <w:rPr>
          <w:rFonts w:asciiTheme="majorBidi" w:hAnsiTheme="majorBidi" w:cstheme="majorBidi"/>
          <w:szCs w:val="24"/>
          <w:lang w:eastAsia="zh-CN"/>
        </w:rPr>
        <w:t xml:space="preserve"> following </w:t>
      </w:r>
      <w:r w:rsidR="00857F2B" w:rsidRPr="00BA5773">
        <w:rPr>
          <w:rFonts w:asciiTheme="majorBidi" w:hAnsiTheme="majorBidi" w:cstheme="majorBidi"/>
          <w:szCs w:val="24"/>
          <w:lang w:eastAsia="zh-CN"/>
        </w:rPr>
        <w:t>low-intensity</w:t>
      </w:r>
      <w:r w:rsidR="00E60B83" w:rsidRPr="00BA5773">
        <w:rPr>
          <w:rFonts w:asciiTheme="majorBidi" w:hAnsiTheme="majorBidi" w:cstheme="majorBidi"/>
          <w:szCs w:val="24"/>
          <w:lang w:eastAsia="zh-CN"/>
        </w:rPr>
        <w:t xml:space="preserve"> ultraviolet illumination</w:t>
      </w:r>
      <w:r w:rsidRPr="00BA5773">
        <w:rPr>
          <w:rFonts w:asciiTheme="majorBidi" w:hAnsiTheme="majorBidi" w:cstheme="majorBidi"/>
          <w:szCs w:val="24"/>
          <w:lang w:eastAsia="zh-CN"/>
        </w:rPr>
        <w:t xml:space="preserve">. In this design, </w:t>
      </w:r>
      <w:r w:rsidR="00857F2B" w:rsidRPr="00BA5773">
        <w:rPr>
          <w:rFonts w:asciiTheme="majorBidi" w:hAnsiTheme="majorBidi" w:cstheme="majorBidi"/>
          <w:szCs w:val="24"/>
          <w:lang w:eastAsia="zh-CN"/>
        </w:rPr>
        <w:t xml:space="preserve">the </w:t>
      </w:r>
      <w:r w:rsidRPr="00BA5773">
        <w:rPr>
          <w:rFonts w:asciiTheme="majorBidi" w:hAnsiTheme="majorBidi" w:cstheme="majorBidi"/>
          <w:szCs w:val="24"/>
          <w:lang w:eastAsia="zh-CN"/>
        </w:rPr>
        <w:t>quinoline</w:t>
      </w:r>
      <w:r w:rsidR="00E60B83" w:rsidRPr="00BA5773">
        <w:rPr>
          <w:rFonts w:asciiTheme="majorBidi" w:hAnsiTheme="majorBidi" w:cstheme="majorBidi"/>
          <w:szCs w:val="24"/>
          <w:lang w:eastAsia="zh-CN"/>
        </w:rPr>
        <w:t xml:space="preserve"> dye</w:t>
      </w:r>
      <w:r w:rsidRPr="00BA5773">
        <w:rPr>
          <w:rFonts w:asciiTheme="majorBidi" w:hAnsiTheme="majorBidi" w:cstheme="majorBidi"/>
          <w:szCs w:val="24"/>
          <w:lang w:eastAsia="zh-CN"/>
        </w:rPr>
        <w:t xml:space="preserve"> effectively act</w:t>
      </w:r>
      <w:r w:rsidR="0067123F" w:rsidRPr="00BA5773">
        <w:rPr>
          <w:rFonts w:asciiTheme="majorBidi" w:hAnsiTheme="majorBidi" w:cstheme="majorBidi"/>
          <w:szCs w:val="24"/>
          <w:lang w:eastAsia="zh-CN"/>
        </w:rPr>
        <w:t>s</w:t>
      </w:r>
      <w:r w:rsidRPr="00BA5773">
        <w:rPr>
          <w:rFonts w:asciiTheme="majorBidi" w:hAnsiTheme="majorBidi" w:cstheme="majorBidi"/>
          <w:szCs w:val="24"/>
          <w:lang w:eastAsia="zh-CN"/>
        </w:rPr>
        <w:t xml:space="preserve"> as molecular ‘antenna’ to promote the reactivity of TEMPO</w:t>
      </w:r>
      <w:r w:rsidR="00DC1FD6" w:rsidRPr="00BA5773">
        <w:rPr>
          <w:rFonts w:asciiTheme="majorBidi" w:hAnsiTheme="majorBidi" w:cstheme="majorBidi"/>
          <w:szCs w:val="24"/>
          <w:lang w:eastAsia="zh-CN"/>
        </w:rPr>
        <w:t xml:space="preserve"> toward </w:t>
      </w:r>
      <w:r w:rsidR="00E60B83" w:rsidRPr="00BA5773">
        <w:rPr>
          <w:rFonts w:asciiTheme="majorBidi" w:hAnsiTheme="majorBidi" w:cstheme="majorBidi"/>
          <w:szCs w:val="24"/>
          <w:lang w:eastAsia="zh-CN"/>
        </w:rPr>
        <w:t>H</w:t>
      </w:r>
      <w:r w:rsidR="0057673D">
        <w:rPr>
          <w:rFonts w:asciiTheme="majorBidi" w:hAnsiTheme="majorBidi" w:cstheme="majorBidi"/>
          <w:szCs w:val="24"/>
          <w:lang w:eastAsia="zh-CN"/>
        </w:rPr>
        <w:t xml:space="preserve"> </w:t>
      </w:r>
      <w:r w:rsidR="00DC1FD6" w:rsidRPr="00BA5773">
        <w:rPr>
          <w:rFonts w:asciiTheme="majorBidi" w:hAnsiTheme="majorBidi" w:cstheme="majorBidi"/>
          <w:szCs w:val="24"/>
          <w:lang w:eastAsia="zh-CN"/>
        </w:rPr>
        <w:t xml:space="preserve">abstraction </w:t>
      </w:r>
      <w:r w:rsidR="00E60B83" w:rsidRPr="00BA5773">
        <w:rPr>
          <w:rFonts w:asciiTheme="majorBidi" w:hAnsiTheme="majorBidi" w:cstheme="majorBidi"/>
          <w:szCs w:val="24"/>
          <w:lang w:eastAsia="zh-CN"/>
        </w:rPr>
        <w:t>to form the</w:t>
      </w:r>
      <w:r w:rsidR="00DC1FD6" w:rsidRPr="00BA5773">
        <w:rPr>
          <w:rFonts w:asciiTheme="majorBidi" w:hAnsiTheme="majorBidi" w:cstheme="majorBidi"/>
          <w:szCs w:val="24"/>
          <w:lang w:eastAsia="zh-CN"/>
        </w:rPr>
        <w:t xml:space="preserve"> corresponding </w:t>
      </w:r>
      <w:r w:rsidR="00DC1FD6" w:rsidRPr="00BA5773">
        <w:rPr>
          <w:rFonts w:asciiTheme="majorBidi" w:hAnsiTheme="majorBidi" w:cstheme="majorBidi"/>
          <w:i/>
          <w:iCs/>
          <w:szCs w:val="24"/>
          <w:lang w:eastAsia="zh-CN"/>
        </w:rPr>
        <w:t>N</w:t>
      </w:r>
      <w:r w:rsidR="00DC1FD6" w:rsidRPr="00BA5773">
        <w:rPr>
          <w:rFonts w:asciiTheme="majorBidi" w:hAnsiTheme="majorBidi" w:cstheme="majorBidi"/>
          <w:szCs w:val="24"/>
          <w:lang w:eastAsia="zh-CN"/>
        </w:rPr>
        <w:t>-</w:t>
      </w:r>
      <w:r w:rsidR="00E60B83" w:rsidRPr="00BA5773">
        <w:rPr>
          <w:rFonts w:asciiTheme="majorBidi" w:hAnsiTheme="majorBidi" w:cstheme="majorBidi"/>
          <w:szCs w:val="24"/>
          <w:lang w:eastAsia="zh-CN"/>
        </w:rPr>
        <w:t>hydroxylamine</w:t>
      </w:r>
      <w:r w:rsidRPr="00BA5773">
        <w:rPr>
          <w:rFonts w:asciiTheme="majorBidi" w:hAnsiTheme="majorBidi" w:cstheme="majorBidi"/>
          <w:szCs w:val="24"/>
          <w:lang w:eastAsia="zh-CN"/>
        </w:rPr>
        <w:t>.</w:t>
      </w:r>
      <w:r w:rsidR="00DC1FD6" w:rsidRPr="00BA5773">
        <w:rPr>
          <w:rFonts w:asciiTheme="majorBidi" w:hAnsiTheme="majorBidi" w:cstheme="majorBidi"/>
          <w:szCs w:val="24"/>
          <w:lang w:eastAsia="zh-CN"/>
        </w:rPr>
        <w:t xml:space="preserve"> T</w:t>
      </w:r>
      <w:r w:rsidRPr="00BA5773">
        <w:rPr>
          <w:rFonts w:asciiTheme="majorBidi" w:hAnsiTheme="majorBidi" w:cstheme="majorBidi"/>
          <w:szCs w:val="24"/>
        </w:rPr>
        <w:t>he exci</w:t>
      </w:r>
      <w:r w:rsidR="003A287A" w:rsidRPr="00BA5773">
        <w:rPr>
          <w:rFonts w:asciiTheme="majorBidi" w:hAnsiTheme="majorBidi" w:cstheme="majorBidi"/>
          <w:szCs w:val="24"/>
        </w:rPr>
        <w:t xml:space="preserve">ted TEMPO </w:t>
      </w:r>
      <w:r w:rsidR="00DC1FD6" w:rsidRPr="00BA5773">
        <w:rPr>
          <w:rFonts w:asciiTheme="majorBidi" w:hAnsiTheme="majorBidi" w:cstheme="majorBidi"/>
          <w:szCs w:val="24"/>
        </w:rPr>
        <w:t xml:space="preserve">can also </w:t>
      </w:r>
      <w:r w:rsidR="00857F2B" w:rsidRPr="00BA5773">
        <w:rPr>
          <w:rFonts w:asciiTheme="majorBidi" w:hAnsiTheme="majorBidi" w:cstheme="majorBidi"/>
          <w:szCs w:val="24"/>
        </w:rPr>
        <w:t>abstract</w:t>
      </w:r>
      <w:r w:rsidR="00DC1FD6" w:rsidRPr="00BA5773">
        <w:rPr>
          <w:rFonts w:asciiTheme="majorBidi" w:hAnsiTheme="majorBidi" w:cstheme="majorBidi"/>
          <w:szCs w:val="24"/>
        </w:rPr>
        <w:t xml:space="preserve"> a</w:t>
      </w:r>
      <w:r w:rsidR="003A287A" w:rsidRPr="00BA5773">
        <w:rPr>
          <w:rFonts w:asciiTheme="majorBidi" w:hAnsiTheme="majorBidi" w:cstheme="majorBidi"/>
          <w:szCs w:val="24"/>
        </w:rPr>
        <w:t xml:space="preserve"> hydrogen</w:t>
      </w:r>
      <w:r w:rsidR="00DC1FD6" w:rsidRPr="00BA5773">
        <w:rPr>
          <w:rFonts w:asciiTheme="majorBidi" w:hAnsiTheme="majorBidi" w:cstheme="majorBidi"/>
          <w:szCs w:val="24"/>
        </w:rPr>
        <w:t xml:space="preserve"> from a polymeric matrix</w:t>
      </w:r>
      <w:r w:rsidRPr="00BA5773">
        <w:rPr>
          <w:rFonts w:asciiTheme="majorBidi" w:hAnsiTheme="majorBidi" w:cstheme="majorBidi"/>
          <w:szCs w:val="24"/>
        </w:rPr>
        <w:t xml:space="preserve">, </w:t>
      </w:r>
      <w:r w:rsidR="009D49E4" w:rsidRPr="00BA5773">
        <w:rPr>
          <w:rFonts w:asciiTheme="majorBidi" w:hAnsiTheme="majorBidi" w:cstheme="majorBidi"/>
          <w:szCs w:val="24"/>
        </w:rPr>
        <w:t>enabling</w:t>
      </w:r>
      <w:r w:rsidRPr="00BA5773">
        <w:rPr>
          <w:rFonts w:asciiTheme="majorBidi" w:hAnsiTheme="majorBidi" w:cstheme="majorBidi"/>
          <w:szCs w:val="24"/>
        </w:rPr>
        <w:t xml:space="preserve"> the photoche</w:t>
      </w:r>
      <w:r w:rsidR="003A287A" w:rsidRPr="00BA5773">
        <w:rPr>
          <w:rFonts w:asciiTheme="majorBidi" w:hAnsiTheme="majorBidi" w:cstheme="majorBidi"/>
          <w:szCs w:val="24"/>
        </w:rPr>
        <w:t>mical modification of the polymer</w:t>
      </w:r>
      <w:r w:rsidRPr="00BA5773">
        <w:rPr>
          <w:rFonts w:asciiTheme="majorBidi" w:hAnsiTheme="majorBidi" w:cstheme="majorBidi"/>
          <w:szCs w:val="24"/>
        </w:rPr>
        <w:t xml:space="preserve"> with concomitant fluorescence activation and</w:t>
      </w:r>
      <w:r w:rsidR="001916FD" w:rsidRPr="00BA5773">
        <w:rPr>
          <w:rFonts w:asciiTheme="majorBidi" w:hAnsiTheme="majorBidi" w:cstheme="majorBidi"/>
          <w:szCs w:val="24"/>
        </w:rPr>
        <w:t xml:space="preserve"> </w:t>
      </w:r>
      <w:r w:rsidRPr="00BA5773">
        <w:rPr>
          <w:rFonts w:asciiTheme="majorBidi" w:hAnsiTheme="majorBidi" w:cstheme="majorBidi"/>
          <w:szCs w:val="24"/>
        </w:rPr>
        <w:t>patterning</w:t>
      </w:r>
      <w:r w:rsidR="003E2BB7" w:rsidRPr="00BA5773">
        <w:rPr>
          <w:rFonts w:asciiTheme="majorBidi" w:hAnsiTheme="majorBidi" w:cstheme="majorBidi"/>
          <w:szCs w:val="24"/>
        </w:rPr>
        <w:t xml:space="preserve">. </w:t>
      </w:r>
      <w:r w:rsidR="00857F2B" w:rsidRPr="00BA5773">
        <w:rPr>
          <w:rFonts w:asciiTheme="majorBidi" w:hAnsiTheme="majorBidi" w:cstheme="majorBidi"/>
          <w:szCs w:val="24"/>
        </w:rPr>
        <w:t>In addition, the</w:t>
      </w:r>
      <w:r w:rsidR="003E2BB7" w:rsidRPr="00BA5773">
        <w:rPr>
          <w:rFonts w:asciiTheme="majorBidi" w:hAnsiTheme="majorBidi" w:cstheme="majorBidi"/>
          <w:szCs w:val="24"/>
        </w:rPr>
        <w:t xml:space="preserve"> patterning process </w:t>
      </w:r>
      <w:r w:rsidR="006F629D" w:rsidRPr="00BA5773">
        <w:rPr>
          <w:rFonts w:asciiTheme="majorBidi" w:hAnsiTheme="majorBidi" w:cstheme="majorBidi"/>
          <w:szCs w:val="24"/>
        </w:rPr>
        <w:t xml:space="preserve">can be thermally reverted </w:t>
      </w:r>
      <w:r w:rsidR="0046284D" w:rsidRPr="00BA5773">
        <w:rPr>
          <w:rFonts w:asciiTheme="majorBidi" w:hAnsiTheme="majorBidi" w:cstheme="majorBidi"/>
          <w:szCs w:val="24"/>
        </w:rPr>
        <w:t>(</w:t>
      </w:r>
      <w:r w:rsidR="00D230BD" w:rsidRPr="00BA5773">
        <w:rPr>
          <w:rFonts w:asciiTheme="majorBidi" w:hAnsiTheme="majorBidi" w:cstheme="majorBidi"/>
          <w:szCs w:val="24"/>
        </w:rPr>
        <w:t>‘e</w:t>
      </w:r>
      <w:r w:rsidR="0046284D" w:rsidRPr="00BA5773">
        <w:rPr>
          <w:rFonts w:asciiTheme="majorBidi" w:hAnsiTheme="majorBidi" w:cstheme="majorBidi"/>
          <w:szCs w:val="24"/>
        </w:rPr>
        <w:t>rased</w:t>
      </w:r>
      <w:r w:rsidR="00D230BD" w:rsidRPr="00BA5773">
        <w:rPr>
          <w:rFonts w:asciiTheme="majorBidi" w:hAnsiTheme="majorBidi" w:cstheme="majorBidi"/>
          <w:szCs w:val="24"/>
        </w:rPr>
        <w:t>’</w:t>
      </w:r>
      <w:r w:rsidR="0046284D" w:rsidRPr="00BA5773">
        <w:rPr>
          <w:rFonts w:asciiTheme="majorBidi" w:hAnsiTheme="majorBidi" w:cstheme="majorBidi"/>
          <w:szCs w:val="24"/>
        </w:rPr>
        <w:t xml:space="preserve">) </w:t>
      </w:r>
      <w:r w:rsidR="006F629D" w:rsidRPr="00BA5773">
        <w:rPr>
          <w:rFonts w:asciiTheme="majorBidi" w:hAnsiTheme="majorBidi" w:cstheme="majorBidi"/>
          <w:szCs w:val="24"/>
        </w:rPr>
        <w:t>by heating the film above the glass transition temperature of the polymer</w:t>
      </w:r>
      <w:r w:rsidR="00857F2B" w:rsidRPr="00BA5773">
        <w:rPr>
          <w:rFonts w:asciiTheme="majorBidi" w:hAnsiTheme="majorBidi" w:cstheme="majorBidi"/>
          <w:szCs w:val="24"/>
        </w:rPr>
        <w:t>.</w:t>
      </w:r>
    </w:p>
    <w:p w14:paraId="405213D7" w14:textId="7A528177" w:rsidR="005A415D" w:rsidRPr="00BA5773" w:rsidRDefault="002E04C3" w:rsidP="00695CAF">
      <w:pPr>
        <w:autoSpaceDE w:val="0"/>
        <w:autoSpaceDN w:val="0"/>
        <w:adjustRightInd w:val="0"/>
        <w:spacing w:beforeLines="120" w:before="288" w:afterLines="120" w:after="288" w:line="360" w:lineRule="auto"/>
        <w:jc w:val="both"/>
        <w:rPr>
          <w:b/>
          <w:bCs/>
          <w:sz w:val="28"/>
          <w:szCs w:val="24"/>
        </w:rPr>
      </w:pPr>
      <w:r w:rsidRPr="00BA5773">
        <w:rPr>
          <w:b/>
          <w:bCs/>
          <w:sz w:val="28"/>
          <w:szCs w:val="24"/>
        </w:rPr>
        <w:lastRenderedPageBreak/>
        <w:t>Introduction</w:t>
      </w:r>
    </w:p>
    <w:p w14:paraId="7DC03C1E" w14:textId="0666FD13" w:rsidR="00A20A31" w:rsidRPr="00BA5773" w:rsidRDefault="00CA74D7" w:rsidP="00140CDD">
      <w:pPr>
        <w:spacing w:beforeLines="120" w:before="288" w:after="0" w:line="360" w:lineRule="auto"/>
        <w:jc w:val="both"/>
      </w:pPr>
      <w:r w:rsidRPr="00BA5773">
        <w:t>The</w:t>
      </w:r>
      <w:r w:rsidR="004969A6" w:rsidRPr="00BA5773">
        <w:t xml:space="preserve"> search for </w:t>
      </w:r>
      <w:r w:rsidRPr="00BA5773">
        <w:t>optically</w:t>
      </w:r>
      <w:r w:rsidR="00591E51" w:rsidRPr="00BA5773">
        <w:t xml:space="preserve"> active </w:t>
      </w:r>
      <w:r w:rsidR="00070093" w:rsidRPr="00BA5773">
        <w:t>donor</w:t>
      </w:r>
      <w:r w:rsidR="00591E51" w:rsidRPr="00BA5773">
        <w:t>-</w:t>
      </w:r>
      <w:r w:rsidR="00070093" w:rsidRPr="00BA5773">
        <w:t>acceptor</w:t>
      </w:r>
      <w:r w:rsidR="00591E51" w:rsidRPr="00BA5773">
        <w:t xml:space="preserve"> </w:t>
      </w:r>
      <w:r w:rsidR="00070093" w:rsidRPr="00BA5773">
        <w:t xml:space="preserve">systems </w:t>
      </w:r>
      <w:r w:rsidRPr="00BA5773">
        <w:t>capable of converting light energy to chemical energy continues to be an area of intense research interest.</w:t>
      </w:r>
      <w:r w:rsidR="00D85814" w:rsidRPr="00BA5773">
        <w:fldChar w:fldCharType="begin" w:fldLock="1"/>
      </w:r>
      <w:r w:rsidR="00187D63" w:rsidRPr="00BA5773">
        <w:instrText>ADDIN CSL_CITATION {"citationItems":[{"id":"ITEM-1","itemData":{"DOI":"10.5860/choice.46-6208","ISBN":"978-1-891389-57-3","ISSN":"0009-4978","abstract":"Principles of Molecular Photochemistry: An Introduction develops photochemical and photophysical concepts from a small set of familiar principles. Developed from Nick Turros best-selling text for three decades Modern Molecular Photochemistry this updated primer introduces an initial paradigm that relates the photon and a reactant molecular structure to photochemistry through the structure and dynamics of electronically excited states, reactive intermediates and products. The same paradigm is readily adapted to incorporate the photon and a reactant molecular structure to photophysics. The book provides brilliantly clear descriptions in pictorial terms that can be readily understood by the student and applied to systems of interest. This text will be of interest to not only practicing photochemists and their students, but also to biological scientists, polymer scientists, material scientists and nanoscientists who use photochemistry and photophysics in their research and teaching.","author":[{"dropping-particle":"","family":"Turro","given":"N.J.","non-dropping-particle":"","parse-names":false,"suffix":""},{"dropping-particle":"","family":"Ramamurthy","given":"V.","non-dropping-particle":"","parse-names":false,"suffix":""},{"dropping-particle":"","family":"Scaiano","given":"J.C.","non-dropping-particle":"","parse-names":false,"suffix":""}],"id":"ITEM-1","issued":{"date-parts":[["2009"]]},"publisher":"University Science Books","publisher-place":"Herndon","title":"Principles of molecular photochemistry: an introduction","type":"book"},"uris":["http://www.mendeley.com/documents/?uuid=b80e435d-a778-4ee5-9ad7-abdf63317900"]},{"id":"ITEM-2","itemData":{"DOI":"10.1002/9783527628193","ISBN":"9783527323913","editor":[{"dropping-particle":"","family":"Albini","given":"Angelo","non-dropping-particle":"","parse-names":false,"suffix":""},{"dropping-particle":"","family":"Fagnoni","given":"Maurizio","non-dropping-particle":"","parse-names":false,"suffix":""}],"id":"ITEM-2","issued":{"date-parts":[["2009","12","16"]]},"publisher":"Wiley‐VCH Verlag GmbH &amp; Co. KGaA","publisher-place":"Weinheim","title":"Handbook of Synthetic Photochemistry","type":"book"},"uris":["http://www.mendeley.com/documents/?uuid=162243a1-a6d2-430b-9211-9a1934f59300"]},{"id":"ITEM-3","itemData":{"ISBN":"978-3-527-33479-7","author":[{"dropping-particle":"","family":"Balzani","given":"V.","non-dropping-particle":"","parse-names":false,"suffix":""},{"dropping-particle":"","family":"Ceroni","given":"P.","non-dropping-particle":"","parse-names":false,"suffix":""},{"dropping-particle":"","family":"Juris","given":"A.","non-dropping-particle":"","parse-names":false,"suffix":""}],"id":"ITEM-3","issued":{"date-parts":[["2014"]]},"publisher":"Wiley‐VCH","publisher-place":"Weinheim","title":"Photochemistry and Photophysics: Concepts, Research, Applications","type":"book"},"uris":["http://www.mendeley.com/documents/?uuid=7a558438-f52b-47a5-bd82-1c261d0ea0c6"]}],"mendeley":{"formattedCitation":"&lt;sup&gt;[1–3]&lt;/sup&gt;","plainTextFormattedCitation":"[1–3]","previouslyFormattedCitation":"&lt;sup&gt;[1–3]&lt;/sup&gt;"},"properties":{"noteIndex":0},"schema":"https://github.com/citation-style-language/schema/raw/master/csl-citation.json"}</w:instrText>
      </w:r>
      <w:r w:rsidR="00D85814" w:rsidRPr="00BA5773">
        <w:fldChar w:fldCharType="separate"/>
      </w:r>
      <w:r w:rsidR="00D85814" w:rsidRPr="00BA5773">
        <w:rPr>
          <w:noProof/>
          <w:vertAlign w:val="superscript"/>
        </w:rPr>
        <w:t>[1–3]</w:t>
      </w:r>
      <w:r w:rsidR="00D85814" w:rsidRPr="00BA5773">
        <w:fldChar w:fldCharType="end"/>
      </w:r>
      <w:r w:rsidRPr="00BA5773">
        <w:t xml:space="preserve"> </w:t>
      </w:r>
      <w:r w:rsidR="008F3614" w:rsidRPr="00BA5773">
        <w:t>Undeniably</w:t>
      </w:r>
      <w:r w:rsidR="00563F01" w:rsidRPr="00BA5773">
        <w:t xml:space="preserve">, the design and synthesis of viable </w:t>
      </w:r>
      <w:r w:rsidR="00563F01" w:rsidRPr="00BA5773">
        <w:rPr>
          <w:i/>
          <w:iCs/>
        </w:rPr>
        <w:t>D</w:t>
      </w:r>
      <w:r w:rsidR="00F0095C" w:rsidRPr="00BA5773">
        <w:t xml:space="preserve"> </w:t>
      </w:r>
      <w:r w:rsidR="00563F01" w:rsidRPr="00BA5773">
        <w:rPr>
          <w:i/>
          <w:iCs/>
        </w:rPr>
        <w:t>-</w:t>
      </w:r>
      <w:r w:rsidR="00F0095C" w:rsidRPr="00BA5773">
        <w:t xml:space="preserve"> </w:t>
      </w:r>
      <w:r w:rsidR="00563F01" w:rsidRPr="00BA5773">
        <w:rPr>
          <w:i/>
          <w:iCs/>
        </w:rPr>
        <w:t>A</w:t>
      </w:r>
      <w:r w:rsidR="00563F01" w:rsidRPr="00BA5773">
        <w:t xml:space="preserve"> (</w:t>
      </w:r>
      <w:r w:rsidR="00563F01" w:rsidRPr="00BA5773">
        <w:rPr>
          <w:i/>
          <w:iCs/>
        </w:rPr>
        <w:t>D</w:t>
      </w:r>
      <w:r w:rsidR="00563F01" w:rsidRPr="00BA5773">
        <w:t xml:space="preserve"> = Donor; </w:t>
      </w:r>
      <w:r w:rsidR="00563F01" w:rsidRPr="00BA5773">
        <w:rPr>
          <w:i/>
          <w:iCs/>
        </w:rPr>
        <w:t>A</w:t>
      </w:r>
      <w:r w:rsidR="00563F01" w:rsidRPr="00BA5773">
        <w:t xml:space="preserve"> = Acceptor) systems capable of absorbing light and funneling the absorbed energy toward a chemical process are of fundamental importance for applications in artificial photosynthesis,</w:t>
      </w:r>
      <w:r w:rsidR="00690202" w:rsidRPr="00BA5773">
        <w:fldChar w:fldCharType="begin" w:fldLock="1"/>
      </w:r>
      <w:r w:rsidR="004F458F" w:rsidRPr="00BA5773">
        <w:instrText>ADDIN CSL_CITATION {"citationItems":[{"id":"ITEM-1","itemData":{"DOI":"10.1021/ar900209b","ISSN":"00014842","PMID":"19902921","abstract":"Because sunlight is diffuse and intermittent, substantial use of solar energy to meet humanity's needs will probably require energy storage in dense, transportable media via chemical bonds. Practical, cost effective technologies for conversion of sunlight directly into useful fuels do not currently exist, and will require new basic science. Photosynthesis provides a blueprint for solar energy storage in fuels. Indeed, all of the fossil-fuel-based energy consumed today derives from sunlight harvested by photosynthetic organisms. Artificial photosynthesis research applies the fundamental scientific principles of the natural process to the design of solar energy conversion systems. These constructs use different materials, and researchers tune them to produce energy efficiently and in forms useful to humans. Fuel production via natural or artificial photosynthesis requires three main components. First, antenna/reaction center complexes absorb sunlight and convert the excitation energy to electrochemical energy (redox equivalents). Then, a water oxidation complex uses this redox potential to catalyze conversion of water to hydrogen ions, electrons stored as reducing equivalents, and oxygen. A second catalytic system uses the reducing equivalents to make fuels such as carbohydrates, lipids, or hydrogen gas. In this Account, we review a few general approaches to artificial photosynthetic fuel production that may be useful for eventually overcoming the energy problem. A variety of research groups have prepared artificial reaction center molecules. These systems contain a chromophore, such as a porphyrin, covalently linked to one or more electron acceptors, such as fullerenes or quinones, and secondary electron donors. Following the excitation of the chromophore, photoinduced electron transfer generates a primary charge-separated state. Electron transfer chains spatially separate the redox equivalents and reduce electronic coupling, slowing recombination of the charge-separated state to the point that catalysts can use the stored energy for fuel production. Antenna systems, employing a variety of chromophores that absorb light throughout the visible spectrum, have been coupled to artificial reaction centers and have incorporated control and photoprotective processes borrowed from photosynthesis. Thus far, researchers have not discovered practical solar-driven catalysts for water oxidation and fuel production that are robust and use earth-abundant elements, but …","author":[{"dropping-particle":"","family":"Gust","given":"Devens","non-dropping-particle":"","parse-names":false,"suffix":""},{"dropping-particle":"","family":"Moore","given":"Thomas A.","non-dropping-particle":"","parse-names":false,"suffix":""},{"dropping-particle":"","family":"Moore","given":"Ana L.","non-dropping-particle":"","parse-names":false,"suffix":""}],"container-title":"Accounts of Chemical Research","id":"ITEM-1","issue":"12","issued":{"date-parts":[["2009"]]},"page":"1890-1898","title":"Solar fuels via artificial photosynthesis","type":"article-journal","volume":"42"},"uris":["http://www.mendeley.com/documents/?uuid=4906247e-883b-4615-9f2f-4d7b2055690a"]},{"id":"ITEM-2","itemData":{"DOI":"10.1016/j.chembiol.2010.05.005","ISSN":"10745521","PMID":"20534342","abstract":"Modern civilization is dependent upon fossil fuels, a nonrenewable energy source originally provided by the storage of solar energy. Fossil-fuel dependence has severe consequences, including energy security issues and greenhouse gas emissions. The consequences of fossil-fuel dependence could be avoided by fuel-producing artificial systems that mimic natural photosynthesis, directly converting solar energy to fuel. This review describes the three key components of solar energy conversion in photosynthesis: light harvesting, charge separation, and catalysis. These processes are compared in natural and in artificial systems. Such a comparison can assist in understanding the general principles of photosynthesis and in developing working devices, including photoelectrochemical cells, for solar energy conversion. © 2010 Elsevier Ltd All rights reserved.","author":[{"dropping-particle":"","family":"McConnell","given":"Iain","non-dropping-particle":"","parse-names":false,"suffix":""},{"dropping-particle":"","family":"Li","given":"Gonghu","non-dropping-particle":"","parse-names":false,"suffix":""},{"dropping-particle":"","family":"Brudvig","given":"Gary W.","non-dropping-particle":"","parse-names":false,"suffix":""}],"container-title":"Chemistry and Biology","id":"ITEM-2","issue":"5","issued":{"date-parts":[["2010"]]},"page":"434-447","publisher":"Elsevier Ltd","title":"Energy conversion in natural and artificial photosynthesis","type":"article-journal","volume":"17"},"uris":["http://www.mendeley.com/documents/?uuid=c6a22196-91df-48ab-bef4-e73f89b8ef07"]},{"id":"ITEM-3","itemData":{"DOI":"10.1039/c1fd00110h","ISSN":"13596640","PMID":"22470964","abstract":"Artificial photosynthesis comprises the design of systems for converting solar energy into useful forms based on the fundamental science underlying natural photosynthesis. There are many approaches to this problem. In this report, the emphasis is on molecule-based systems for photochemical production of fuels using sunlight. A few examples of typical components of artificial photosynthetic systems including antennas, reaction centres, catalysts for fuel production and water oxidation, and units for photoprotection and photoregulation are presented in order to illustrate the current state of the field and point out challenges yet to be fully addressed. © 2012 The Royal Society of Chemistry.","author":[{"dropping-particle":"","family":"Gust","given":"Devens","non-dropping-particle":"","parse-names":false,"suffix":""},{"dropping-particle":"","family":"Moore","given":"Thomas A.","non-dropping-particle":"","parse-names":false,"suffix":""},{"dropping-particle":"","family":"Moore","given":"Ana L.","non-dropping-particle":"","parse-names":false,"suffix":""}],"container-title":"Faraday Discussions","id":"ITEM-3","issued":{"date-parts":[["2012"]]},"page":"9-26","title":"Realizing artificial photosynthesis","type":"article-journal","volume":"155"},"uris":["http://www.mendeley.com/documents/?uuid=108801f7-186e-41a3-beae-048cfce474e5"]},{"id":"ITEM-4","itemData":{"DOI":"10.1021/ar400200u","ISSN":"15204898","PMID":"24793793","abstract":"ConspectusResearchers have long been interested in replicating the reactivity that occurs in photosynthetic organisms. To mimic the long-lived charge separations characteristic of the reaction center in photosynthesis, researchers have applied the Marcus theory to design synthetic multistep electron-transfer (ET) systems. In this Account, we describe our recent research on the rational design of ET control systems, based on models of the photosynthetic reaction center that rely on the Marcus theory of ET.The key to obtaining a long-lived charge separation is the careful choice of electron donors and acceptors that have small reorganization energies of ET. In these cases, the driving force of back ET is located in the Marcus inverted region, where the lifetime of the charge-separated state lengthens as the driving force of back ET increases. We chose porphyrins as electron donors and fullerenes as electron acceptors, both of which have small ET reorganization energies. By linking electron donor porphyrins and electron acceptor fullerenes at appropriate distances, we achieved charge-separated states with long lifetimes. We could further lengthen the lifetimes of charge-separated states by mixing a variety of components, such as a terminal electron donor, an electron mediator, and an electron acceptor, mimicking both the photosynthetic reaction center and the multistep photoinduced ET that occurs there.However, each step in multistep ET loses a fraction of the initial excitation energy during the long-distance charge separation. To overcome this drawback in multistep ET systems, we used designed new systems where we could finely control the redox potentials and the geometry of simple donor-acceptor dyads. These modifications resulted in a small ET reorganization energy and a high-lying triplet excited state. Our most successful example, 9-mesityl-10-methylacridinium ion (Acr+-Mes), can undergo a fast photoinduced ET from the mesityl (Mes) moiety to the singlet excited state of the acridinium ion moiety (Acr+) with extremely slow back ET. The high-energy triplet charge-separated state is located deep in the Marcus inverted region, and we have detected the structural changes during the photoinduced ET in this system using X-ray crystallography.To increase the efficiency of both the light-harvesting and photoinduced ET, we assembled the Acr+-Mes dyads on gold nanoparticles to bring them in closer proximity to one another. We can also incorporate Acr+-Mes mole…","author":[{"dropping-particle":"","family":"Fukuzumi","given":"Shunichi","non-dropping-particle":"","parse-names":false,"suffix":""},{"dropping-particle":"","family":"Ohkubo","given":"Kei","non-dropping-particle":"","parse-names":false,"suffix":""},{"dropping-particle":"","family":"Suenobu","given":"Tomoyoshi","non-dropping-particle":"","parse-names":false,"suffix":""}],"container-title":"Accounts of Chemical Research","id":"ITEM-4","issue":"5","issued":{"date-parts":[["2014"]]},"page":"1455-1464","title":"Long-lived charge separation and applications in artificial photosynthesis","type":"article-journal","volume":"47"},"uris":["http://www.mendeley.com/documents/?uuid=feaf7abf-3ac5-4b39-b43c-c01d1b8193b5"]},{"id":"ITEM-5","itemData":{"DOI":"10.1016/j.jphotochemrev.2017.02.001","ISSN":"13895567","abstract":"Solar energy has a great potential as a clean, cheap, renewable and sustainable energy source, but it must be captured and transformed into useful forms of energy as plants do. An especially attractive approach is to store solar energy in the form of chemical bonds as performed in natural photosynthesis. Therefore, there is a challenge in the last decades to construct semi-artificial and artificial photosynthetic systems, which are able to efficiently capture and convert solar energy and then store it in the form of chemical bonds of solar fuels such as hydrogen or hydrogen peroxide, while at the time producing oxygen from water. Here, we review the molecular level details of the natural photosynthesis, particularly the mechanism of light dependent reactions in oxygen evolving organisms, absorption efficiency of solar energy and direct energy production. We then demonstrate the concept and examples of the semi-artificial photosynthesis in vitro. Finally we demonstrate the artificial photosynthesis, which is composed of light harvesting and charge-separation units together with catalytic units of water oxidation and reduction as well as CO2 reduction. The reported photosynthetic molecular and supramolecular systems have been designed and examined in order to mimic functions of the antenna-reaction center of the natural process. The relations between structures and photochemical behaviors of these artificial photosynthetic systems are discussed in relation to the rates and efficiencies of charge-separation and charge-recombination processes by utilizing the laser flash photolysis technique, as well as other complementary techniques. Finally the photocatalytic production of hydrogen peroxide as a more promising solar fuel is discussed in relation with the natural photosynthesis, which also produces hydrogen peroxide in addition to NADPH.","author":[{"dropping-particle":"","family":"El-Khouly","given":"Mohamed E.","non-dropping-particle":"","parse-names":false,"suffix":""},{"dropping-particle":"","family":"El-Mohsnawy","given":"Eithar","non-dropping-particle":"","parse-names":false,"suffix":""},{"dropping-particle":"","family":"Fukuzumi","given":"Shunichi","non-dropping-particle":"","parse-names":false,"suffix":""}],"container-title":"Journal of Photochemistry and Photobiology C: Photochemistry Reviews","id":"ITEM-5","issued":{"date-parts":[["2017"]]},"page":"36-83","publisher":"Elsevier B.V.","title":"Solar energy conversion: From natural to artificial photosynthesis","type":"article-journal","volume":"31"},"uris":["http://www.mendeley.com/documents/?uuid=aa0a71a4-f6de-4776-b849-b3c62ab9afb0"]}],"mendeley":{"formattedCitation":"&lt;sup&gt;[4–8]&lt;/sup&gt;","plainTextFormattedCitation":"[4–8]","previouslyFormattedCitation":"&lt;sup&gt;[4–8]&lt;/sup&gt;"},"properties":{"noteIndex":0},"schema":"https://github.com/citation-style-language/schema/raw/master/csl-citation.json"}</w:instrText>
      </w:r>
      <w:r w:rsidR="00690202" w:rsidRPr="00BA5773">
        <w:fldChar w:fldCharType="separate"/>
      </w:r>
      <w:r w:rsidR="00690202" w:rsidRPr="00BA5773">
        <w:rPr>
          <w:noProof/>
          <w:vertAlign w:val="superscript"/>
        </w:rPr>
        <w:t>[4–8]</w:t>
      </w:r>
      <w:r w:rsidR="00690202" w:rsidRPr="00BA5773">
        <w:fldChar w:fldCharType="end"/>
      </w:r>
      <w:r w:rsidR="00563F01" w:rsidRPr="00BA5773">
        <w:t xml:space="preserve"> photovoltaics</w:t>
      </w:r>
      <w:r w:rsidR="00857F2B" w:rsidRPr="00BA5773">
        <w:t>,</w:t>
      </w:r>
      <w:r w:rsidR="004F458F" w:rsidRPr="00BA5773">
        <w:fldChar w:fldCharType="begin" w:fldLock="1"/>
      </w:r>
      <w:r w:rsidR="004F458F" w:rsidRPr="00BA5773">
        <w:instrText>ADDIN CSL_CITATION {"citationItems":[{"id":"ITEM-1","itemData":{"DOI":"10.1016/j.mattod.2013.04.005","ISSN":"13697021","abstract":"Organic photovoltaic (OPV) cells represent an exciting class of renewable energy technology; they are lightweight and flexible, and have a low production cost. Over the last two decades, the efficiency of these devices has improved significantly, in particular through the development of solution-processed bulk heterojunction (BHJ) OPV cells. While fullerenes have been the most intensively studied acceptor materials in BHJ OPVs, research is currently underway in several groups investigating non-fullerene molecular acceptors. In this review, initial breakthroughs and recent progress in the development of polymer donor-polymer acceptor (all-polymer) BHJ OPVs are highlighted. © 2013 Elsevier Ltd.","author":[{"dropping-particle":"","family":"Facchetti","given":"Antonio","non-dropping-particle":"","parse-names":false,"suffix":""}],"container-title":"Materials Today","id":"ITEM-1","issue":"4","issued":{"date-parts":[["2013"]]},"page":"123-132","publisher":"Elsevier Ltd.","title":"Polymer donor-polymer acceptor (all-polymer) solar cells","type":"article-journal","volume":"16"},"uris":["http://www.mendeley.com/documents/?uuid=601bddd4-c991-44de-944c-c43a8dd00ca6"]},{"id":"ITEM-2","itemData":{"DOI":"10.1016/j.synthmet.2014.01.022","ISSN":"03796779","abstract":"Recently Heliatek have reported the 12% certified efficiency of organic photovoltaic (OPVs). This rapid progress suggests that the commercialization of OPVs will be realized soon. In addition to the achievement of such high efficiency in OPVs, yet there is a wide need of improvements e.g. the need of electron-acceptors materials other than fullerene, better understanding of charge-transport mechanism in organic materials, requirement of the material compatible with the flexible substrate, durability of the organic materials based devices etc. The aim of this paper is to review the recent developments in OPVs and the potentials of organic photovoltaic, which has caught the attention of many researchers working in the field of optoelectronics. In this article, the organic solar cell mechanism, the basic design, the recent developments and the efficient organic materials for OPVs are reviewed. The authors have reviewed the recent articles to understand the mechanisms of photocurrent generation and sketched out the search for alternative materials for these devices. © 2014 Elsevier B.V.","author":[{"dropping-particle":"","family":"Kaur","given":"Navpreet","non-dropping-particle":"","parse-names":false,"suffix":""},{"dropping-particle":"","family":"Singh","given":"Mandeep","non-dropping-particle":"","parse-names":false,"suffix":""},{"dropping-particle":"","family":"Pathak","given":"Dinesh","non-dropping-particle":"","parse-names":false,"suffix":""},{"dropping-particle":"","family":"Wagner","given":"Tomas","non-dropping-particle":"","parse-names":false,"suffix":""},{"dropping-particle":"","family":"Nunzi","given":"J. M.","non-dropping-particle":"","parse-names":false,"suffix":""}],"container-title":"Synthetic Metals","id":"ITEM-2","issued":{"date-parts":[["2014"]]},"page":"20-26","publisher":"Elsevier B.V.","title":"Organic materials for photovoltaic applications: Review and mechanism","type":"article-journal","volume":"190"},"uris":["http://www.mendeley.com/documents/?uuid=3c2c8c06-8619-4e29-98fd-5f4eb3d48277"]},{"id":"ITEM-3","itemData":{"DOI":"10.1021/acs.chemrev.6b00215","ISSN":"15206890","PMID":"27951633","abstract":"The field of organic photovoltaics has developed rapidly over the last 2 decades, and small solar cells with power conversion efficiencies of 13% have been demonstrated. Light absorbed in the organic layers forms tightly bound excitons that are split into free electrons and holes using heterojunctions of electron donor and acceptor materials, which are then extracted at electrodes to give useful electrical power. This review gives a concise description of the fundamental processes in photovoltaic devices, with the main emphasis on the characterization of energy transfer and its role in dictating device architecture, including multilayer planar heterojunctions, and on the factors that impact free carrier generation from dissociated excitons. We briefly discuss harvesting of triplet excitons, which now attracts substantial interest when used in conjunction with singlet fission. Finally, we introduce the techniques used by researchers for characterization and engineering of bulk heterojunctions to realize large photocurrents, and examine the formed morphology in three prototypical blends.","author":[{"dropping-particle":"","family":"Hedley","given":"Gordon J.","non-dropping-particle":"","parse-names":false,"suffix":""},{"dropping-particle":"","family":"Ruseckas","given":"Arvydas","non-dropping-particle":"","parse-names":false,"suffix":""},{"dropping-particle":"","family":"Samuel","given":"Ifor D.W.","non-dropping-particle":"","parse-names":false,"suffix":""}],"container-title":"Chemical Reviews","id":"ITEM-3","issue":"2","issued":{"date-parts":[["2017"]]},"page":"796-837","title":"Light harvesting for organic photovoltaics","type":"article-journal","volume":"117"},"uris":["http://www.mendeley.com/documents/?uuid=46cfc69a-a97c-4897-a2d5-5c97475a9ccd"]},{"id":"ITEM-4","itemData":{"DOI":"10.1016/j.progpolymsci.2017.03.003","ISSN":"00796700","abstract":"Organic photovoltaic cells made with semiconducting polymers remain one of the most promising technologies for low-cost solar energy due to their compatibility with roll-to-roll printing techniques. The development of new light-absorbing polymers has driven tremendous advances in the power conversion efficiency of these devices. In particular, the use of alternating electron rich (donor) and electron poor (acceptor) segments along the polymer backbone can produce low optical bandgap materials that capture more of the solar spectrum. As a result, power conversion efficiencies over 10% are increasingly common for this technology. This review summarizes the recent advances in donor-acceptor polymer design and synthesis, highlighting the structural features that are key to providing high efficiency, scalable and stable devices.","author":[{"dropping-particle":"","family":"Holliday","given":"Sarah","non-dropping-particle":"","parse-names":false,"suffix":""},{"dropping-particle":"","family":"Li","given":"Yilin","non-dropping-particle":"","parse-names":false,"suffix":""},{"dropping-particle":"","family":"Luscombe","given":"Christine K.","non-dropping-particle":"","parse-names":false,"suffix":""}],"container-title":"Progress in Polymer Science","id":"ITEM-4","issued":{"date-parts":[["2017"]]},"page":"34-51","publisher":"Elsevier Ltd","title":"Recent advances in high performance donor-acceptor polymers for organic photovoltaics","type":"article-journal","volume":"70"},"uris":["http://www.mendeley.com/documents/?uuid=f63197ac-998f-4ebc-ab05-78fbcbabf96d"]}],"mendeley":{"formattedCitation":"&lt;sup&gt;[9–12]&lt;/sup&gt;","plainTextFormattedCitation":"[9–12]","previouslyFormattedCitation":"&lt;sup&gt;[9–12]&lt;/sup&gt;"},"properties":{"noteIndex":0},"schema":"https://github.com/citation-style-language/schema/raw/master/csl-citation.json"}</w:instrText>
      </w:r>
      <w:r w:rsidR="004F458F" w:rsidRPr="00BA5773">
        <w:fldChar w:fldCharType="separate"/>
      </w:r>
      <w:r w:rsidR="004F458F" w:rsidRPr="00BA5773">
        <w:rPr>
          <w:noProof/>
          <w:vertAlign w:val="superscript"/>
        </w:rPr>
        <w:t>[9–12]</w:t>
      </w:r>
      <w:r w:rsidR="004F458F" w:rsidRPr="00BA5773">
        <w:fldChar w:fldCharType="end"/>
      </w:r>
      <w:r w:rsidR="00563F01" w:rsidRPr="00BA5773">
        <w:t xml:space="preserve"> and photocatalysis.</w:t>
      </w:r>
      <w:r w:rsidR="004F458F" w:rsidRPr="00BA5773">
        <w:fldChar w:fldCharType="begin" w:fldLock="1"/>
      </w:r>
      <w:r w:rsidR="00BD20F4" w:rsidRPr="00BA5773">
        <w:instrText>ADDIN CSL_CITATION {"citationItems":[{"id":"ITEM-1","itemData":{"DOI":"10.1126/science.1239176","ISSN":"0036-8075","PMID":"24578578","abstract":"Chemists have long aspired to synthesize molecules the way that plants do - using sunlight to facilitate the construction of complex molecular architectures. Nevertheless, the use of visible light in photochemical synthesis is fundamentally challenging because organic molecules tend not to interact with the wavelengths of visible light that are most strongly emitted in the solar spectrum. Recent research has begun to leverage the ability of visible light-absorbing transition metal complexes to catalyze a broad range of synthetically valuable reactions. In this review, we highlight how an understanding of the mechanisms of photocatalytic activation available to these transition metal complexes, and of the general reactivity patterns of the intermediates accessible via visible light photocatalysis, has accelerated the development of this diverse suite of reactions.","author":[{"dropping-particle":"","family":"Schultz","given":"Danielle M.","non-dropping-particle":"","parse-names":false,"suffix":""},{"dropping-particle":"","family":"Yoon","given":"Tehshik P.","non-dropping-particle":"","parse-names":false,"suffix":""}],"container-title":"Science","id":"ITEM-1","issue":"6174","issued":{"date-parts":[["2014","2","28"]]},"page":"1239176-1239176","title":"Solar Synthesis: Prospects in Visible Light Photocatalysis","type":"article-journal","volume":"343"},"uris":["http://www.mendeley.com/documents/?uuid=65540bab-7162-4cfc-bcfc-6bc1eb5137d5"]},{"id":"ITEM-2","itemData":{"DOI":"10.1021/acs.chemrev.6b00057","ISSN":"15206890","abstract":"In this review, we highlight the use of organic photoredox catalysts in a myriad of synthetic transformations with a range of applications. This overview is arranged by catalyst class where the photophysics and electrochemical characteristics of each is discussed to underscore the differences and advantages to each type of single electron redox agent. We highlight both net reductive and oxidative as well as redox neutral transformations that can be accomplished using purely organic photoredox-active catalysts. An overview of the basic photophysics and electron transfer theory is presented in order to provide a comprehensive guide for employing this class of catalysts in photoredox manifolds.","author":[{"dropping-particle":"","family":"Romero","given":"Nathan A.","non-dropping-particle":"","parse-names":false,"suffix":""},{"dropping-particle":"","family":"Nicewicz","given":"David A.","non-dropping-particle":"","parse-names":false,"suffix":""}],"container-title":"Chemical Reviews","id":"ITEM-2","issue":"17","issued":{"date-parts":[["2016"]]},"page":"10075-10166","title":"Organic Photoredox Catalysis","type":"article-journal","volume":"116"},"uris":["http://www.mendeley.com/documents/?uuid=c896cc84-2d63-4fe7-a3f1-4f3f7189423e"]},{"id":"ITEM-3","itemData":{"DOI":"10.1021/acs.joc.6b01449","ISSN":"15206904","abstract":"In recent years, photoredox catalysis has come to the forefront in organic chemistry as a powerful strategy for the activation of small molecules. In a general sense, these approaches rely on the ability of metal complexes and organic dyes to convert visible light into chemical energy by engaging in single-electron transfer with organic substrates, thereby generating reactive intermediates. In this Perspective, we highlight the unique ability of photoredox catalysis to expedite the development of completely new reaction mechanisms, with particular emphasis placed on multicatalytic strategies that enable the construction of challenging carbon-carbon and carbon-heteroatom bonds.","author":[{"dropping-particle":"","family":"Shaw","given":"Megan H.","non-dropping-particle":"","parse-names":false,"suffix":""},{"dropping-particle":"","family":"Twilton","given":"Jack","non-dropping-particle":"","parse-names":false,"suffix":""},{"dropping-particle":"","family":"MacMillan","given":"David W.C.","non-dropping-particle":"","parse-names":false,"suffix":""}],"container-title":"Journal of Organic Chemistry","id":"ITEM-3","issue":"16","issued":{"date-parts":[["2016"]]},"page":"6898-6926","title":"Photoredox Catalysis in Organic Chemistry","type":"article-journal","volume":"81"},"uris":["http://www.mendeley.com/documents/?uuid=13d293d5-a9de-4a31-80be-992b7d6d578f"]},{"id":"ITEM-4","itemData":{"DOI":"10.1039/c6cs00526h","ISSN":"14604744","PMID":"27711624","abstract":"Recently, the use of transition metal based chromophores as photo-induced single-electron transfer reagents in synthetic organic chemistry has opened up a wealth of possibilities for reinventing known reactions as well as creating new pathways to previously unattainable products. The workhorses for these efforts have been polypyridyl complexes of Ru(ii) and Ir(iii), compounds whose photophysics have been studied for decades within the inorganic community but never extensively applied to problems of interest to organic chemists. While the nexus of synthetic organic and physical-inorganic chemistries holds promise for tremendous new opportunities in both areas, a deeper appreciation of the underlying principles governing the excited-state reactivity of these charge-transfer chromophores is needed. In this Tutorial Review, we present a basic overview of the photophysics of this class of compounds with the goal of explaining the concepts, ground- and excited-state properties, as well as experimental protocols necessary to probe the kinetics and mechanisms of photo-induced electron and/or energy transfer processes.","author":[{"dropping-particle":"","family":"Arias-Rotondo","given":"Daniela M.","non-dropping-particle":"","parse-names":false,"suffix":""},{"dropping-particle":"","family":"McCusker","given":"James K.","non-dropping-particle":"","parse-names":false,"suffix":""}],"container-title":"Chemical Society Reviews","id":"ITEM-4","issue":"21","issued":{"date-parts":[["2016"]]},"page":"5803-5820","publisher":"Royal Society of Chemistry","title":"The photophysics of photoredox catalysis: A roadmap for catalyst design","type":"article-journal","volume":"45"},"uris":["http://www.mendeley.com/documents/?uuid=77abb38a-f2b7-436f-86be-c6b02a8627b5"]}],"mendeley":{"formattedCitation":"&lt;sup&gt;[13–16]&lt;/sup&gt;","plainTextFormattedCitation":"[13–16]","previouslyFormattedCitation":"&lt;sup&gt;[13–16]&lt;/sup&gt;"},"properties":{"noteIndex":0},"schema":"https://github.com/citation-style-language/schema/raw/master/csl-citation.json"}</w:instrText>
      </w:r>
      <w:r w:rsidR="004F458F" w:rsidRPr="00BA5773">
        <w:fldChar w:fldCharType="separate"/>
      </w:r>
      <w:r w:rsidR="004F458F" w:rsidRPr="00BA5773">
        <w:rPr>
          <w:noProof/>
          <w:vertAlign w:val="superscript"/>
        </w:rPr>
        <w:t>[13–16]</w:t>
      </w:r>
      <w:r w:rsidR="004F458F" w:rsidRPr="00BA5773">
        <w:fldChar w:fldCharType="end"/>
      </w:r>
      <w:r w:rsidR="00563F01" w:rsidRPr="00BA5773">
        <w:t xml:space="preserve"> </w:t>
      </w:r>
      <w:r w:rsidR="00A20A31" w:rsidRPr="00BA5773">
        <w:t xml:space="preserve">In this context, molecular systems comprised of organic chromophores can effectively capture light and transduce the resulting excitation energy into a chemical reaction. </w:t>
      </w:r>
      <w:r w:rsidR="000B4A75" w:rsidRPr="00BA5773">
        <w:t>O</w:t>
      </w:r>
      <w:r w:rsidR="00A20A31" w:rsidRPr="00BA5773">
        <w:t>rganic chromophores can absorb radiation across the ultraviolet and visible regions of the electromagnetic spectrum with concomitant transitions from ground to excited electronic states.</w:t>
      </w:r>
      <w:r w:rsidR="00785BB6" w:rsidRPr="00BA5773">
        <w:fldChar w:fldCharType="begin" w:fldLock="1"/>
      </w:r>
      <w:r w:rsidR="00785BB6" w:rsidRPr="00BA5773">
        <w:instrText>ADDIN CSL_CITATION {"citationItems":[{"id":"ITEM-1","itemData":{"DOI":"10.5860/choice.46-6208","ISBN":"978-1-891389-57-3","ISSN":"0009-4978","abstract":"Principles of Molecular Photochemistry: An Introduction develops photochemical and photophysical concepts from a small set of familiar principles. Developed from Nick Turros best-selling text for three decades Modern Molecular Photochemistry this updated primer introduces an initial paradigm that relates the photon and a reactant molecular structure to photochemistry through the structure and dynamics of electronically excited states, reactive intermediates and products. The same paradigm is readily adapted to incorporate the photon and a reactant molecular structure to photophysics. The book provides brilliantly clear descriptions in pictorial terms that can be readily understood by the student and applied to systems of interest. This text will be of interest to not only practicing photochemists and their students, but also to biological scientists, polymer scientists, material scientists and nanoscientists who use photochemistry and photophysics in their research and teaching.","author":[{"dropping-particle":"","family":"Turro","given":"N.J.","non-dropping-particle":"","parse-names":false,"suffix":""},{"dropping-particle":"","family":"Ramamurthy","given":"V.","non-dropping-particle":"","parse-names":false,"suffix":""},{"dropping-particle":"","family":"Scaiano","given":"J.C.","non-dropping-particle":"","parse-names":false,"suffix":""}],"id":"ITEM-1","issued":{"date-parts":[["2009"]]},"publisher":"University Science Books","publisher-place":"Herndon","title":"Principles of molecular photochemistry: an introduction","type":"book"},"uris":["http://www.mendeley.com/documents/?uuid=b80e435d-a778-4ee5-9ad7-abdf63317900"]},{"id":"ITEM-2","itemData":{"ISBN":"978-3-527-33479-7","author":[{"dropping-particle":"","family":"Balzani","given":"V.","non-dropping-particle":"","parse-names":false,"suffix":""},{"dropping-particle":"","family":"Ceroni","given":"P.","non-dropping-particle":"","parse-names":false,"suffix":""},{"dropping-particle":"","family":"Juris","given":"A.","non-dropping-particle":"","parse-names":false,"suffix":""}],"id":"ITEM-2","issued":{"date-parts":[["2014"]]},"publisher":"Wiley‐VCH","publisher-place":"Weinheim","title":"Photochemistry and Photophysics: Concepts, Research, Applications","type":"book"},"uris":["http://www.mendeley.com/documents/?uuid=7a558438-f52b-47a5-bd82-1c261d0ea0c6"]}],"mendeley":{"formattedCitation":"&lt;sup&gt;[1,3]&lt;/sup&gt;","plainTextFormattedCitation":"[1,3]","previouslyFormattedCitation":"&lt;sup&gt;[1,3]&lt;/sup&gt;"},"properties":{"noteIndex":0},"schema":"https://github.com/citation-style-language/schema/raw/master/csl-citation.json"}</w:instrText>
      </w:r>
      <w:r w:rsidR="00785BB6" w:rsidRPr="00BA5773">
        <w:fldChar w:fldCharType="separate"/>
      </w:r>
      <w:r w:rsidR="00785BB6" w:rsidRPr="00BA5773">
        <w:rPr>
          <w:noProof/>
          <w:vertAlign w:val="superscript"/>
        </w:rPr>
        <w:t>[1,3]</w:t>
      </w:r>
      <w:r w:rsidR="00785BB6" w:rsidRPr="00BA5773">
        <w:fldChar w:fldCharType="end"/>
      </w:r>
      <w:r w:rsidR="00A20A31" w:rsidRPr="00BA5773">
        <w:t xml:space="preserve"> Excited chromophores can then release the absorbed energy in the form of fluorescence</w:t>
      </w:r>
      <w:r w:rsidR="00857F2B" w:rsidRPr="00BA5773">
        <w:t>,</w:t>
      </w:r>
      <w:r w:rsidR="000B4A75" w:rsidRPr="00BA5773">
        <w:t xml:space="preserve"> </w:t>
      </w:r>
      <w:r w:rsidR="00A20A31" w:rsidRPr="00BA5773">
        <w:t xml:space="preserve">or </w:t>
      </w:r>
      <w:r w:rsidR="00B62F84" w:rsidRPr="00BA5773">
        <w:t xml:space="preserve">by decaying back </w:t>
      </w:r>
      <w:r w:rsidR="00732DCA" w:rsidRPr="00BA5773">
        <w:t>to the ground state through non-</w:t>
      </w:r>
      <w:r w:rsidR="00B62F84" w:rsidRPr="00BA5773">
        <w:t>radiative relaxation processes.</w:t>
      </w:r>
      <w:r w:rsidR="00785BB6" w:rsidRPr="00BA5773">
        <w:fldChar w:fldCharType="begin" w:fldLock="1"/>
      </w:r>
      <w:r w:rsidR="00B06452" w:rsidRPr="00BA5773">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Spectroscopy","id":"ITEM-1","issued":{"date-parts":[["2006"]]},"number-of-pages":"1-954","publisher":"Springer, New York","title":"Principles of fluorescence spectroscopy","type":"book"},"uris":["http://www.mendeley.com/documents/?uuid=c9caa076-fbf3-4160-9c6f-cf13847c401f"]}],"mendeley":{"formattedCitation":"&lt;sup&gt;[17]&lt;/sup&gt;","plainTextFormattedCitation":"[17]","previouslyFormattedCitation":"&lt;sup&gt;[17]&lt;/sup&gt;"},"properties":{"noteIndex":0},"schema":"https://github.com/citation-style-language/schema/raw/master/csl-citation.json"}</w:instrText>
      </w:r>
      <w:r w:rsidR="00785BB6" w:rsidRPr="00BA5773">
        <w:fldChar w:fldCharType="separate"/>
      </w:r>
      <w:r w:rsidR="0074268C" w:rsidRPr="00BA5773">
        <w:rPr>
          <w:noProof/>
          <w:vertAlign w:val="superscript"/>
        </w:rPr>
        <w:t>[17]</w:t>
      </w:r>
      <w:r w:rsidR="00785BB6" w:rsidRPr="00BA5773">
        <w:fldChar w:fldCharType="end"/>
      </w:r>
      <w:r w:rsidR="00B62F84" w:rsidRPr="00BA5773">
        <w:t xml:space="preserve"> </w:t>
      </w:r>
      <w:r w:rsidR="00A20A31" w:rsidRPr="00BA5773">
        <w:t xml:space="preserve">In the presence of a suitable acceptor, </w:t>
      </w:r>
      <w:r w:rsidR="000B4A75" w:rsidRPr="00BA5773">
        <w:t>however, s</w:t>
      </w:r>
      <w:r w:rsidR="00A20A31" w:rsidRPr="00BA5773">
        <w:t>uch chromophores can</w:t>
      </w:r>
      <w:r w:rsidR="000B5D41" w:rsidRPr="00BA5773">
        <w:t xml:space="preserve"> </w:t>
      </w:r>
      <w:r w:rsidR="00A20A31" w:rsidRPr="00BA5773">
        <w:t>transfer</w:t>
      </w:r>
      <w:r w:rsidR="000B4A75" w:rsidRPr="00BA5773">
        <w:t xml:space="preserve"> the absorbed energy</w:t>
      </w:r>
      <w:r w:rsidR="000B5D41" w:rsidRPr="00BA5773">
        <w:t xml:space="preserve"> from their excited state (</w:t>
      </w:r>
      <w:r w:rsidR="00857F2B" w:rsidRPr="00BA5773">
        <w:rPr>
          <w:i/>
          <w:iCs/>
        </w:rPr>
        <w:t>D*</w:t>
      </w:r>
      <w:r w:rsidR="000B5D41" w:rsidRPr="00BA5773">
        <w:t xml:space="preserve">) to a nearby </w:t>
      </w:r>
      <w:r w:rsidR="000B5D41" w:rsidRPr="00BA5773">
        <w:rPr>
          <w:i/>
          <w:iCs/>
        </w:rPr>
        <w:t>A</w:t>
      </w:r>
      <w:r w:rsidR="000B4A75" w:rsidRPr="00BA5773">
        <w:t>, mimicking the workings of a transmitting antenna.</w:t>
      </w:r>
      <w:r w:rsidR="004B4516" w:rsidRPr="00BA5773">
        <w:fldChar w:fldCharType="begin" w:fldLock="1"/>
      </w:r>
      <w:r w:rsidR="00187D63" w:rsidRPr="00BA5773">
        <w:instrText>ADDIN CSL_CITATION {"citationItems":[{"id":"ITEM-1","itemData":{"DOI":"10.1002/3527601600","ISBN":"3527305068","author":[{"dropping-particle":"","family":"Balzani","given":"Vincenzo","non-dropping-particle":"","parse-names":false,"suffix":""},{"dropping-particle":"","family":"Credi","given":"Alberto","non-dropping-particle":"","parse-names":false,"suffix":""},{"dropping-particle":"","family":"Venturi","given":"Margeritha","non-dropping-particle":"","parse-names":false,"suffix":""}],"id":"ITEM-1","issued":{"date-parts":[["2003","1","15"]]},"publisher":"Wiley-VCH Verlag GmbH &amp; Co. KGaA","publisher-place":"Weinheim","title":"Molecular Devices and Machines– A Journey into the Nano World","type":"book"},"uris":["http://www.mendeley.com/documents/?uuid=a1890771-b7b1-4102-851b-e073ee72e660"]}],"mendeley":{"formattedCitation":"&lt;sup&gt;[18]&lt;/sup&gt;","plainTextFormattedCitation":"[18]","previouslyFormattedCitation":"&lt;sup&gt;[18]&lt;/sup&gt;"},"properties":{"noteIndex":0},"schema":"https://github.com/citation-style-language/schema/raw/master/csl-citation.json"}</w:instrText>
      </w:r>
      <w:r w:rsidR="004B4516" w:rsidRPr="00BA5773">
        <w:fldChar w:fldCharType="separate"/>
      </w:r>
      <w:r w:rsidR="0074268C" w:rsidRPr="00BA5773">
        <w:rPr>
          <w:noProof/>
          <w:vertAlign w:val="superscript"/>
        </w:rPr>
        <w:t>[18]</w:t>
      </w:r>
      <w:r w:rsidR="004B4516" w:rsidRPr="00BA5773">
        <w:fldChar w:fldCharType="end"/>
      </w:r>
      <w:r w:rsidR="000B4A75" w:rsidRPr="00BA5773">
        <w:t xml:space="preserve"> </w:t>
      </w:r>
      <w:r w:rsidR="009545BD" w:rsidRPr="00BA5773">
        <w:t xml:space="preserve">The </w:t>
      </w:r>
      <w:r w:rsidR="000B4A75" w:rsidRPr="00BA5773">
        <w:t>acceptor</w:t>
      </w:r>
      <w:r w:rsidR="009545BD" w:rsidRPr="00BA5773">
        <w:t xml:space="preserve"> specie</w:t>
      </w:r>
      <w:r w:rsidR="000B4A75" w:rsidRPr="00BA5773">
        <w:t>s</w:t>
      </w:r>
      <w:r w:rsidR="009545BD" w:rsidRPr="00BA5773">
        <w:t xml:space="preserve"> can </w:t>
      </w:r>
      <w:r w:rsidR="009079D7" w:rsidRPr="00BA5773">
        <w:t>therefore</w:t>
      </w:r>
      <w:r w:rsidR="009545BD" w:rsidRPr="00BA5773">
        <w:t xml:space="preserve"> be sensitized with light via energy transfer from a tethered donor</w:t>
      </w:r>
      <w:r w:rsidR="00B62F84" w:rsidRPr="00BA5773">
        <w:t xml:space="preserve"> and undergo</w:t>
      </w:r>
      <w:r w:rsidR="009079D7" w:rsidRPr="00BA5773">
        <w:t xml:space="preserve">, or </w:t>
      </w:r>
      <w:r w:rsidR="00B62F84" w:rsidRPr="00BA5773">
        <w:t>promote</w:t>
      </w:r>
      <w:r w:rsidR="009079D7" w:rsidRPr="00BA5773">
        <w:t>,</w:t>
      </w:r>
      <w:r w:rsidR="00B62F84" w:rsidRPr="00BA5773">
        <w:t xml:space="preserve"> a chemical reaction. </w:t>
      </w:r>
    </w:p>
    <w:p w14:paraId="5907C58B" w14:textId="35690F50" w:rsidR="00107110" w:rsidRPr="00BA5773" w:rsidRDefault="00B62F84" w:rsidP="00140CDD">
      <w:pPr>
        <w:spacing w:before="0" w:afterLines="120" w:after="288" w:line="360" w:lineRule="auto"/>
        <w:ind w:firstLine="567"/>
        <w:jc w:val="both"/>
      </w:pPr>
      <w:r w:rsidRPr="00BA5773">
        <w:t>Dual chromophore-nitroxide dyads (CNO</w:t>
      </w:r>
      <w:r w:rsidRPr="00BA5773">
        <w:rPr>
          <w:vertAlign w:val="superscript"/>
        </w:rPr>
        <w:sym w:font="Symbol" w:char="F0B7"/>
      </w:r>
      <w:r w:rsidRPr="00BA5773">
        <w:t>)</w:t>
      </w:r>
      <w:r w:rsidR="00837151" w:rsidRPr="00BA5773">
        <w:t xml:space="preserve"> have </w:t>
      </w:r>
      <w:r w:rsidR="00732DCA" w:rsidRPr="00BA5773">
        <w:t>often been</w:t>
      </w:r>
      <w:r w:rsidR="00837151" w:rsidRPr="00BA5773">
        <w:t xml:space="preserve"> investigated for conversion of light energy to chemical energy based </w:t>
      </w:r>
      <w:r w:rsidR="00732DCA" w:rsidRPr="00BA5773">
        <w:t>up</w:t>
      </w:r>
      <w:r w:rsidR="00837151" w:rsidRPr="00BA5773">
        <w:t>on the ability of paramagnetic nitroxide</w:t>
      </w:r>
      <w:r w:rsidR="005825E6" w:rsidRPr="00BA5773">
        <w:t>s, such as 2,2,6,6-tetramethylpiperidine-</w:t>
      </w:r>
      <w:r w:rsidR="005825E6" w:rsidRPr="00BA5773">
        <w:rPr>
          <w:i/>
          <w:iCs/>
        </w:rPr>
        <w:t>N</w:t>
      </w:r>
      <w:r w:rsidR="005825E6" w:rsidRPr="00BA5773">
        <w:t>-oxyl (TEMPO</w:t>
      </w:r>
      <w:r w:rsidR="00947E72" w:rsidRPr="00BA5773">
        <w:t xml:space="preserve">), </w:t>
      </w:r>
      <w:r w:rsidR="00837151" w:rsidRPr="00BA5773">
        <w:t>to selectively abstract a hydrogen atom</w:t>
      </w:r>
      <w:r w:rsidR="006E407F" w:rsidRPr="00BA5773">
        <w:t xml:space="preserve"> </w:t>
      </w:r>
      <w:r w:rsidR="00837151" w:rsidRPr="00BA5773">
        <w:t>or trap carbon-centered radicals</w:t>
      </w:r>
      <w:r w:rsidR="006E407F" w:rsidRPr="00BA5773">
        <w:t>, yielding the corresponding hydroxylamines or alkoxyamines, respectively.</w:t>
      </w:r>
      <w:r w:rsidR="009508A4" w:rsidRPr="00BA5773">
        <w:fldChar w:fldCharType="begin" w:fldLock="1"/>
      </w:r>
      <w:r w:rsidR="00B06452" w:rsidRPr="00BA5773">
        <w:instrText>ADDIN CSL_CITATION {"citationItems":[{"id":"ITEM-1","itemData":{"DOI":"10.1021/ja00214a041","ISSN":"15205126","abstract":"The absorption and fluorescence emission spectra and quantum yields of a series of paramagnetic nitroxide-naphthalene adducts are compared with those of diamagnetic analogues. While the absorption and emission energies of these compounds are unaffected by the presence of the nitroxyl radical substituent(s), the fluorescence quantum yields of the paramagnetic derivatives are 2.9- to 60-fold lower than the corresponding diamagnetic derivatives. Additionally, chemical reduction of the nitroxide moiety to a diamagnetic hydroxylamine produces a fluorescence yield increase that parallels nitroxyl radical loss. On the basis of this chemically mediated optical switching, compounds of this class may prove to be broadly applicable as sensitive optical probes for radicals and redox-active species in biological and chemical systems. © 1988, American Chemical Society. All rights reserved.","author":[{"dropping-particle":"V.","family":"Blough","given":"Neil","non-dropping-particle":"","parse-names":false,"suffix":""},{"dropping-particle":"","family":"Simpson","given":"Daniel J.","non-dropping-particle":"","parse-names":false,"suffix":""}],"container-title":"Journal of the American Chemical Society","id":"ITEM-1","issue":"6","issued":{"date-parts":[["1988"]]},"page":"1915-1917","title":"Chemically Mediated Fluorescence Yield Switching in Nitroxide-Fluorophore Adducts: Optical Sensors of Radical/Redox Reactions","type":"article-journal","volume":"110"},"uris":["http://www.mendeley.com/documents/?uuid=550fbc16-7c53-4dd1-9e80-07688370fff0"]},{"id":"ITEM-2","itemData":{"DOI":"10.1021/ac00220a005","ISSN":"15206882","abstract":"A simple method to detect subnanomolar to micromolar levels of photochemically generated carbon-centered radicals in aqueous solutions has been developed and optimized. This method Is based on the efficient trapping of radicals by a water-soluble amino nitroxide, followed by derivatization of the trapped products with fluorescamine to produce highly fluorescent adducts. These adducts can be separated by reversed-phase high-performance liquid chromatography and detected fluorometrically. The fluorescent derivatives are stable over a period of days. The detection limit, primarily determined by reagent interferences, ranged from 0.3 to 1 nM per analyte for a 500-µL Injection at a slgnal-to-noise ratio of two. The precision of the method for the determination of adduct concentrations in the 1–10 nM range varied from 2.4 to 8.4% relative standard deviation (n = 6). A direct comparison with electron paramagnetic resonance spectroscopy/spin trapping Illustrates the advantages of our technique. One important feature of the method Is that it permits the simultaneous detection of an array of radicals, as demonstrated through the study of the photochemical production of radicals in a variety of natural water samples and in Suwannee River fulvic acid. © 1990, American Chemical Society. All rights reserved.","author":[{"dropping-particle":"","family":"Kieber","given":"David J.","non-dropping-particle":"","parse-names":false,"suffix":""},{"dropping-particle":"V.","family":"Blough","given":"Neil","non-dropping-particle":"","parse-names":false,"suffix":""}],"container-title":"Analytical Chemistry","id":"ITEM-2","issue":"21","issued":{"date-parts":[["1990"]]},"page":"2275-2283","title":"Determination of Carbon-Centered Radicals in Aqueous Solution by Liquid Chromatography with Fluorescence Detection","type":"article-journal","volume":"62"},"uris":["http://www.mendeley.com/documents/?uuid=32b9896a-a93d-41dc-9bf2-86d858215ccf"]},{"id":"ITEM-3","itemData":{"DOI":"10.1111/j.1751-1097.2007.00141.x","ISSN":"00318655","abstract":"Over the last decades scientists have faced growing requirements in novel methods of fast and sensitive analysis of antioxidant status of biological systems, spin redox probing and spin trapping, investigation of molecular dynamics, and of convenient models for studies of photophysical and photochemical processes. In approaching this problem, methods based upon the use of dual chromophore-nitroxide (CN) compounds have been suggested and developed. A CN consists of two molecular sub-functionality (a chromophore and a stable nitroxide radical) tethered together by spacers. In the dual compound the nitroxide is a strong intramolecular quencher of the fluorescence from the chromophore fragment. Reduction to hydroxylamine, oxidation of the nitroxide fragment or addition of an active radical yield the fluorescence increase and the parallel decay of the fragment electron spin resonance (ESR) signal. At certain conditions the dual molecules undergo photomagnetic switching and form excited state multi-spin systems. These unique properties of CN were intensively exploited as the basis for several methodologies, which include molecular probing, modeling intramolecular photochemical and photophysical processes, and construction of new magnetic materials. © 2007 The Authors.","author":[{"dropping-particle":"","family":"Likhtenstein","given":"Gertz I.","non-dropping-particle":"","parse-names":false,"suffix":""},{"dropping-particle":"","family":"Ishii","given":"Kazuyuki","non-dropping-particle":"","parse-names":false,"suffix":""},{"dropping-particle":"","family":"Nakatsuji","given":"Shin'ichi","non-dropping-particle":"","parse-names":false,"suffix":""}],"container-title":"Photochemistry and Photobiology","id":"ITEM-3","issue":"4","issued":{"date-parts":[["2007"]]},"page":"871-881","title":"Dual chromophore-nitroxides: Novel molecular probes, photochemical and photophysical models and magnetic materials","type":"article-journal","volume":"83"},"uris":["http://www.mendeley.com/documents/?uuid=a9a3a38a-72f7-403c-b4cc-46c9387e4164"]},{"id":"ITEM-4","itemData":{"DOI":"10.1351/pac200880102125","ISSN":"00334545","abstract":"Donor-acceptor structures capable of retaining the charge-photoseparated state during the time long enough for secondary chemical reactions of these charges to occur attract special interest from the viewpoint of the problem of light energy utilization. We proposed dual fluorophore-nitroxide compounds (FNO•) as systems for the conversion of light energy to chemical energy. In these systems, the fluorophore segment in the excited singlet state serves as an electron donor, and the nitroxide segment is an electron acceptor. In FNO•, the photo- and chemical reduction of nitroxide results in the drastic decay of the electron spin resonance (ESR) signal from the nitroxide and the parallel enhancement of fluorescence. The same groups allow one to measure the factors affecting the electron transfer, namely, molecular dynamics and micropolarity of the medium in the vicinity of the donor (by fluorescence technique) and acceptor (by ESR) moieties. We demonstrate that in the dual probes the nitroxide segment is photoreduced to hydroxylamine in solution and in such nanoscale structures as serum albumins. The photoreduction occurs by very weak reducing agents (glycerol, ethanol, ethylene glycol, etc.) without a violation of the fluorophore structure. Therefore, photochemical reactions in the dual compounds with the formation of a reducing agent as hydroxyl amine can be considered as processes of light energy transfer. The nitroxide segment tethered to the donor-bridge-acceptor triad affects the photoseparated charge recombination via the mechanism of spin catalysis. Proficiency of the dual compounds for developing energy conversion systems can be extended by an optimal choice of the participants of the photochemical and -physical processes. © 2008 IUPAC.","author":[{"dropping-particle":"","family":"Likhtenshtein","given":"Gertz I.","non-dropping-particle":"","parse-names":false,"suffix":""}],"container-title":"Pure and Applied Chemistry","id":"ITEM-4","issue":"10","issued":{"date-parts":[["2008"]]},"page":"2125-2139","title":"Factors affecting light energy conversion in dual fluorophore-nitroxide molecules in solution and a protein","type":"article-journal","volume":"80"},"uris":["http://www.mendeley.com/documents/?uuid=f22d18bd-93df-4762-ba27-166be93eafeb"]}],"mendeley":{"formattedCitation":"&lt;sup&gt;[19–22]&lt;/sup&gt;","plainTextFormattedCitation":"[19–22]","previouslyFormattedCitation":"&lt;sup&gt;[19–22]&lt;/sup&gt;"},"properties":{"noteIndex":0},"schema":"https://github.com/citation-style-language/schema/raw/master/csl-citation.json"}</w:instrText>
      </w:r>
      <w:r w:rsidR="009508A4" w:rsidRPr="00BA5773">
        <w:fldChar w:fldCharType="separate"/>
      </w:r>
      <w:r w:rsidR="0074268C" w:rsidRPr="00BA5773">
        <w:rPr>
          <w:noProof/>
          <w:vertAlign w:val="superscript"/>
        </w:rPr>
        <w:t>[19–22]</w:t>
      </w:r>
      <w:r w:rsidR="009508A4" w:rsidRPr="00BA5773">
        <w:fldChar w:fldCharType="end"/>
      </w:r>
      <w:r w:rsidR="00E854AE" w:rsidRPr="00BA5773">
        <w:t xml:space="preserve"> </w:t>
      </w:r>
      <w:r w:rsidR="00AD01F6" w:rsidRPr="00BA5773">
        <w:t>Commonly</w:t>
      </w:r>
      <w:r w:rsidR="0071797D" w:rsidRPr="00BA5773">
        <w:t xml:space="preserve"> </w:t>
      </w:r>
      <w:r w:rsidR="00A81B77" w:rsidRPr="00BA5773">
        <w:t>studied</w:t>
      </w:r>
      <w:r w:rsidR="0071797D" w:rsidRPr="00BA5773">
        <w:t xml:space="preserve"> hy</w:t>
      </w:r>
      <w:r w:rsidR="00947E72" w:rsidRPr="00BA5773">
        <w:t>drogen donor substrates include phenols,</w:t>
      </w:r>
      <w:r w:rsidR="001A26EF" w:rsidRPr="00BA5773">
        <w:fldChar w:fldCharType="begin" w:fldLock="1"/>
      </w:r>
      <w:r w:rsidR="00B06452" w:rsidRPr="00BA5773">
        <w:instrText>ADDIN CSL_CITATION {"citationItems":[{"id":"ITEM-1","itemData":{"DOI":"10.1021/ol035589w","ISSN":"15237060","abstract":"(Equation presented) Rate constants for hydrogen abstraction from phenols by a prefluorescent-TEMPO probe are reported. The nitroxide is employed as a potential model of peroxyl radicals. The probe works by nitroxide suppression of the fluorescence of the chromophore. The fluorescence is restored when the nitroxide abstracts a hydrogen atom to produce the diamagnetic hydroxylamine. The phenols studied in this project exhibited rate constants between 0.003 and 0.2 M-1 s-1. A deuterium isotope effect of 10 for TROLOX confirms that the mechanism is dominated by hydrogen transfer.","author":[{"dropping-particle":"","family":"Aliaga","given":"Carolina","non-dropping-particle":"","parse-names":false,"suffix":""},{"dropping-particle":"","family":"Aspée","given":"Alexis","non-dropping-particle":"","parse-names":false,"suffix":""},{"dropping-particle":"","family":"Scaiano","given":"J. C.","non-dropping-particle":"","parse-names":false,"suffix":""}],"container-title":"Organic Letters","id":"ITEM-1","issue":"22","issued":{"date-parts":[["2003"]]},"page":"4145-4148","title":"A New Method to Study Antioxidant Capability: Hydrogen Transfer from Phenols to a Prefluorescent Nitroxide","type":"article-journal","volume":"5"},"uris":["http://www.mendeley.com/documents/?uuid=34ee0672-114f-4b08-95f6-730124896e69"]},{"id":"ITEM-2","itemData":{"DOI":"10.1080/1071576031000081587","ISSN":"1071-5762","author":[{"dropping-particle":"","family":"Aliaga","given":"C.","non-dropping-particle":"","parse-names":false,"suffix":""},{"dropping-particle":"","family":"Lissi","given":"E.A.","non-dropping-particle":"","parse-names":false,"suffix":""},{"dropping-particle":"","family":"Augusto","given":"O.","non-dropping-particle":"","parse-names":false,"suffix":""},{"dropping-particle":"","family":"Linares","given":"E.","non-dropping-particle":"","parse-names":false,"suffix":""}],"container-title":"Free Radical Research","id":"ITEM-2","issue":"3","issued":{"date-parts":[["2003","1","7"]]},"page":"225-230","title":"Kinetics and Mechanism of the Reaction of a Nitroxide Radical (Tempol) With a Phenolic Antioxidant","type":"article-journal","volume":"37"},"uris":["http://www.mendeley.com/documents/?uuid=9b050c72-0be9-467b-abdd-51bc8e5222cc"]},{"id":"ITEM-3","itemData":{"DOI":"10.1021/ol800446c","ISSN":"15237060","PMID":"18465870","abstract":"(Chemical Equation Presented) A nitroxide prefluorescent probe has been used to evaluate local reactivity of antioxidants in micellar systems. An apparent rate constant that directly reflects the relevance of antioxidant hydrophobicity on the reaction toward nitroxide radicals has been defined. Dramatic increases in this parameter for quercetin are shown on moving from methanol to micellar media: 90 and 230 fold enhancements for SDS and Triton X100 micelles, respectively. This is a clear consequence of the favorable partition of reactants in the micelles. © 2008 American Chemical Society.","author":[{"dropping-particle":"","family":"Aliaga","given":"Carolina","non-dropping-particle":"","parse-names":false,"suffix":""},{"dropping-particle":"","family":"Juárez-Ruiz","given":"Juan M.","non-dropping-particle":"","parse-names":false,"suffix":""},{"dropping-particle":"","family":"Scaiano","given":"J. C.","non-dropping-particle":"","parse-names":false,"suffix":""},{"dropping-particle":"","family":"Aspée","given":"Alexis","non-dropping-particle":"","parse-names":false,"suffix":""}],"container-title":"Organic Letters","id":"ITEM-3","issue":"11","issued":{"date-parts":[["2008"]]},"page":"2147-2150","title":"Hydrogen-transfer reactions from phenols to TEMPO prefluorescent probes in micellar systems","type":"article-journal","volume":"10"},"uris":["http://www.mendeley.com/documents/?uuid=a00166a0-f2e6-4914-b7cb-111f0d5af0ca"]}],"mendeley":{"formattedCitation":"&lt;sup&gt;[23–25]&lt;/sup&gt;","plainTextFormattedCitation":"[23–25]","previouslyFormattedCitation":"&lt;sup&gt;[23–25]&lt;/sup&gt;"},"properties":{"noteIndex":0},"schema":"https://github.com/citation-style-language/schema/raw/master/csl-citation.json"}</w:instrText>
      </w:r>
      <w:r w:rsidR="001A26EF" w:rsidRPr="00BA5773">
        <w:fldChar w:fldCharType="separate"/>
      </w:r>
      <w:r w:rsidR="0074268C" w:rsidRPr="00BA5773">
        <w:rPr>
          <w:noProof/>
          <w:vertAlign w:val="superscript"/>
        </w:rPr>
        <w:t>[23–25]</w:t>
      </w:r>
      <w:r w:rsidR="001A26EF" w:rsidRPr="00BA5773">
        <w:fldChar w:fldCharType="end"/>
      </w:r>
      <w:r w:rsidR="00947E72" w:rsidRPr="00BA5773">
        <w:t xml:space="preserve"> </w:t>
      </w:r>
      <w:r w:rsidR="00C7551B" w:rsidRPr="00BA5773">
        <w:t>thiols</w:t>
      </w:r>
      <w:r w:rsidR="000C5156" w:rsidRPr="00BA5773">
        <w:t>,</w:t>
      </w:r>
      <w:r w:rsidR="00A23977" w:rsidRPr="00BA5773">
        <w:fldChar w:fldCharType="begin" w:fldLock="1"/>
      </w:r>
      <w:r w:rsidR="00B06452" w:rsidRPr="00BA5773">
        <w:instrText>ADDIN CSL_CITATION {"citationItems":[{"id":"ITEM-1","itemData":{"DOI":"10.1021/ja0495157","ISSN":"00027863","PMID":"15281811","abstract":"Nitroxide radicals possess important antioxidant activity in live tissues because of their ability to scavenge reactive radicals. Despite the fact that, in cells, damaging free radicals are primarily quenched by glutathione (GSH) with subsequent formation of harmful glutathionyl radical (GS.), interactions of nitroxide radicals with GS. and thiols have not been studied in detail. In addition, intracellular metabolic pathways leading to the formation of secondary amines from nitroxides are unknown. Here we report that GS. radicals react efficiently and irreversibly with nitroxides to produce secondary amines. We developed a sensitive method for the detection of GS. based on their specific interaction with Ac-Tempo, a nonfluorescent conjugate of fluorogenic acridine with paramagnetic nitroxide Tempo, and used it to characterize interactions between nitroxide and thiyl radicals generated through phenoxyl radical recycling by peroxidase. During reaction of Ac-Tempo with GS., Tempo EPR signals decayed and acridine fluorescence concurrently increased. DMPO and PBN, spin traps for GS ., inhibited this interaction. Using combined HPLC and mass spectrometry, we determined that 90% of the Ac-Tempo was converted into fluorescent acridine (Ac)-piperidine; GSH was primarily oxidized into sulfonic acid. In myeloperoxidase-rich HL-60 cells, Ac-piperidine fluorescence was observed upon stimulation of GS. generation by H2O 2 and phenol. Development of fluorescence was prevented by preincubation of cells with the thiol-blocking reagent N-ethylmaleimide as well as with peroxidase inhibitiors. Furthermore, Ac-Tempo preserved intracellular GSH and protected cells from phenol/ GS. toxicity, suggesting a new mechanism for the free-radical scavenging activity of nitroxides in live cells.","author":[{"dropping-particle":"","family":"Borisenko","given":"Grigory G.","non-dropping-particle":"","parse-names":false,"suffix":""},{"dropping-particle":"","family":"Martin","given":"Ian","non-dropping-particle":"","parse-names":false,"suffix":""},{"dropping-particle":"","family":"Zhao","given":"Qing","non-dropping-particle":"","parse-names":false,"suffix":""},{"dropping-particle":"","family":"Amoscato","given":"Andrew A.","non-dropping-particle":"","parse-names":false,"suffix":""},{"dropping-particle":"","family":"Kagan","given":"Valerian E.","non-dropping-particle":"","parse-names":false,"suffix":""}],"container-title":"Journal of the American Chemical Society","id":"ITEM-1","issue":"30","issued":{"date-parts":[["2004"]]},"page":"9221-9232","title":"Nitroxides scavenge myeloperoxidase-catalyzed thiyl radicals in model systems and in cells","type":"article-journal","volume":"126"},"uris":["http://www.mendeley.com/documents/?uuid=0e0670ce-caf6-404c-b15e-627a546bc079"]},{"id":"ITEM-2","itemData":{"DOI":"10.1021/jp804743g","ISSN":"10895639","PMID":"18729428","abstract":"Cyclic nitroxides effectively protect cells, tissues, isolated organs, and laboratory animals from radical-induced damage. The present study focuses on the kinetics and mechanisms of the reactions of piperidine and pyrrolidine nitroxides with thiyl radicals, which are involved in free radical \"repair\" equilibria, but being strong oxidants can also produce cell damage. Thiyl radicals derived from glutathione, cysteine, and penicillamine were generated in water by pulse radiolysis, and the rate constants of their reactions with 2,2,6,6-tetramethylpip-eridine-1-oxyl (TPO), 4-OH-TPO, and 3-carbamoyl-proxyl were determined to be (5-7) × 108 M -1 s_1 at pH 5-7, independent of the structure of the nitroxide and the thiyl radical. It is suggested that the reaction of nitroxide (&gt;NO) with thiyl radical (RS) yields an unstable adduct (&gt; NOSR). The deprotonated form of this adduct decomposes via heterolysis of the N-O bond, yielding the respective amine (&gt;NH) and sulfinic acid (RS(O)OH). The protonated form of the adduct decomposes via homolysis of the N-O bond, forming the aminium radical (&gt;NH+) and sulfinyl radical (RSO), which by subsequent reactions involving thiol and nitroxide produce the respective amine and sulfonic acid (RS(O)2OH). Nitroxides that are oxidized to the respective oxoammonium cations (&gt; N+=O) are recovered in the presence of NADH but not in the presence of thiols. This suggests that the reaction of &gt;N+=0 with thiols yields the respective amine. Two alternative mechanisms are suggested, where &gt;N+=O reacts with thiolate (RS-) directly generating the adduct &gt;NOSR or indirectly forming &gt;NO and RS, which subsequently together yield the adduct &gt;NOSR. Under physiological conditions the adduct is mainly deprotonated, and therefore nitroxides can detoxify thiyl radicals. The proposed mechanism can account for the protective effect of nitroxides against reactive oxygen- and nitrogen-derived species in the presence of thiols. © 2008 American Chemical Society.","author":[{"dropping-particle":"","family":"Goldstein","given":"Sara","non-dropping-particle":"","parse-names":false,"suffix":""},{"dropping-particle":"","family":"Samuni","given":"Amram","non-dropping-particle":"","parse-names":false,"suffix":""},{"dropping-particle":"","family":"Merenyi","given":"Gabor","non-dropping-particle":"","parse-names":false,"suffix":""}],"container-title":"Journal of Physical Chemistry A","id":"ITEM-2","issue":"37","issued":{"date-parts":[["2008"]]},"page":"8600-8605","title":"Kinetics of the reaction between nitroxide and thiyl radicals: Nitroxides as antioxidants in the presence of thiols","type":"article-journal","volume":"112"},"uris":["http://www.mendeley.com/documents/?uuid=0f17b597-d884-4c5b-b49a-bc7a97934d67"]}],"mendeley":{"formattedCitation":"&lt;sup&gt;[26,27]&lt;/sup&gt;","plainTextFormattedCitation":"[26,27]","previouslyFormattedCitation":"&lt;sup&gt;[26,27]&lt;/sup&gt;"},"properties":{"noteIndex":0},"schema":"https://github.com/citation-style-language/schema/raw/master/csl-citation.json"}</w:instrText>
      </w:r>
      <w:r w:rsidR="00A23977" w:rsidRPr="00BA5773">
        <w:fldChar w:fldCharType="separate"/>
      </w:r>
      <w:r w:rsidR="0074268C" w:rsidRPr="00BA5773">
        <w:rPr>
          <w:noProof/>
          <w:vertAlign w:val="superscript"/>
        </w:rPr>
        <w:t>[26,27]</w:t>
      </w:r>
      <w:r w:rsidR="00A23977" w:rsidRPr="00BA5773">
        <w:fldChar w:fldCharType="end"/>
      </w:r>
      <w:r w:rsidR="000C5156" w:rsidRPr="00BA5773">
        <w:t xml:space="preserve"> and solvents (notably, acetonitrile and toluene).</w:t>
      </w:r>
      <w:r w:rsidR="00170773" w:rsidRPr="00BA5773">
        <w:fldChar w:fldCharType="begin" w:fldLock="1"/>
      </w:r>
      <w:r w:rsidR="00B06452" w:rsidRPr="00BA5773">
        <w:instrText>ADDIN CSL_CITATION {"citationItems":[{"id":"ITEM-1","itemData":{"DOI":"10.1021/jo00364a036","ISSN":"15206904","abstract":"There have been several reports on the photochemistry of stable nitroxide free radicals. Two types of reactivity have been observed: (i) cleavage of one of the C–N bonds and (ii) hydrogen abstraction by an excited nitroxide. The former is the mechanism in the case of di-tert-butyl nitroxide which yields 2-methyl-2-nitrosopropane and tert-butyl radical which is then scavenged by a second nitroxide molecule. In the case of cyclic nitroxide, 3-carbamoyl-2,2,5,5-tetramethylpyrroline-1-oxyl, α-cleavage is followed by loss of nitric oxide to yield a diene as product. The abstraction mechanism (ii) has been observed in systems such as 4-hydroxy-2,2,6,6-tetramethylpiperidine-N-oxyl6 and a steroid nitroxide. © 1986, American Chemical Society. All rights reserved.","author":[{"dropping-particle":"","family":"Johnston","given":"Linda J.","non-dropping-particle":"","parse-names":false,"suffix":""},{"dropping-particle":"","family":"Tencer","given":"Michal","non-dropping-particle":"","parse-names":false,"suffix":""},{"dropping-particle":"","family":"Scaiano","given":"J. C.","non-dropping-particle":"","parse-names":false,"suffix":""}],"container-title":"Journal of Organic Chemistry","id":"ITEM-1","issue":"14","issued":{"date-parts":[["1986"]]},"page":"2806-2808","title":"Evidence for Hydrogen Transfer in the Photochemistry of 2,2,6,6-Tetramethylpiperidine-N-oxyl","type":"article-journal","volume":"51"},"uris":["http://www.mendeley.com/documents/?uuid=50e55343-270a-46cd-91d0-733a3f131ed2"]},{"id":"ITEM-2","itemData":{"DOI":"10.1039/c3cp51723c","ISSN":"14639076","abstract":"A prefluorescent radical probe in which a 2,2,6,6-tetramethylpiperidine-N- oxyl (TEMPO) unit is sensitized with visible light via energy transfer from a tethered coumarin dye has been synthesized. The excited TEMPO moiety undergoes hydrogen abstraction from a polymer with concomitant functionalization of the polymeric matrix; this writing process can be reversed thermally. The fluorescent probes can be bleached under high intensity illumination, making these new materials suitable for dual-tone lithography with potential applications in sub-diffraction lithographic imaging. © the Owner Societies 2013.","author":[{"dropping-particle":"","family":"Impellizzeri","given":"Stefania","non-dropping-particle":"","parse-names":false,"suffix":""},{"dropping-particle":"","family":"Stamplecoskie","given":"Kevin G.","non-dropping-particle":"","parse-names":false,"suffix":""},{"dropping-particle":"","family":"Scaiano","given":"Juan C.","non-dropping-particle":"","parse-names":false,"suffix":""}],"container-title":"Physical Chemistry Chemical Physics","id":"ITEM-2","issue":"36","issued":{"date-parts":[["2013"]]},"page":"14873-14878","title":"Sensitized excited free-radical processes as read-write tools: Impact on non-linear lithographic processes","type":"article-journal","volume":"15"},"uris":["http://www.mendeley.com/documents/?uuid=017f0e8a-dec8-4d02-9ea6-c0c781e5acd9"]}],"mendeley":{"formattedCitation":"&lt;sup&gt;[28,29]&lt;/sup&gt;","plainTextFormattedCitation":"[28,29]","previouslyFormattedCitation":"&lt;sup&gt;[28,29]&lt;/sup&gt;"},"properties":{"noteIndex":0},"schema":"https://github.com/citation-style-language/schema/raw/master/csl-citation.json"}</w:instrText>
      </w:r>
      <w:r w:rsidR="00170773" w:rsidRPr="00BA5773">
        <w:fldChar w:fldCharType="separate"/>
      </w:r>
      <w:r w:rsidR="0074268C" w:rsidRPr="00BA5773">
        <w:rPr>
          <w:noProof/>
          <w:vertAlign w:val="superscript"/>
        </w:rPr>
        <w:t>[28,29]</w:t>
      </w:r>
      <w:r w:rsidR="00170773" w:rsidRPr="00BA5773">
        <w:fldChar w:fldCharType="end"/>
      </w:r>
      <w:r w:rsidR="000C5156" w:rsidRPr="00BA5773">
        <w:t xml:space="preserve"> </w:t>
      </w:r>
      <w:r w:rsidR="00A86D35" w:rsidRPr="00BA5773">
        <w:t>Within the dyadic system,</w:t>
      </w:r>
      <w:r w:rsidR="00465564" w:rsidRPr="00BA5773">
        <w:t xml:space="preserve"> </w:t>
      </w:r>
      <w:r w:rsidR="005825E6" w:rsidRPr="00BA5773">
        <w:t>covalent coupling</w:t>
      </w:r>
      <w:r w:rsidR="00465564" w:rsidRPr="00BA5773">
        <w:t xml:space="preserve"> </w:t>
      </w:r>
      <w:r w:rsidR="00D64859" w:rsidRPr="00BA5773">
        <w:t xml:space="preserve">between </w:t>
      </w:r>
      <w:r w:rsidR="005825E6" w:rsidRPr="00BA5773">
        <w:t>a light-absorbing o</w:t>
      </w:r>
      <w:r w:rsidR="00465564" w:rsidRPr="00BA5773">
        <w:t xml:space="preserve">rganic dye </w:t>
      </w:r>
      <w:r w:rsidR="00D64859" w:rsidRPr="00BA5773">
        <w:t xml:space="preserve">and TEMPO </w:t>
      </w:r>
      <w:r w:rsidR="00465564" w:rsidRPr="00BA5773">
        <w:t xml:space="preserve">allows sensitization of the </w:t>
      </w:r>
      <w:r w:rsidR="00D64859" w:rsidRPr="00BA5773">
        <w:t>latter</w:t>
      </w:r>
      <w:r w:rsidR="005825E6" w:rsidRPr="00BA5773">
        <w:t xml:space="preserve"> by direct energy transfer from the excited chromophore</w:t>
      </w:r>
      <w:r w:rsidR="000A0289" w:rsidRPr="00BA5773">
        <w:t>.</w:t>
      </w:r>
      <w:r w:rsidR="00943A97" w:rsidRPr="00BA5773">
        <w:fldChar w:fldCharType="begin" w:fldLock="1"/>
      </w:r>
      <w:r w:rsidR="00B06452" w:rsidRPr="00BA5773">
        <w:instrText>ADDIN CSL_CITATION {"citationItems":[{"id":"ITEM-1","itemData":{"DOI":"10.1021/ma0212994","ISSN":"00249297","abstract":"The photochemical and photophysical properties of 4-(3-hydroxy-2-methyl-4-quinolinoyloxy)-2,2,6,6-tetramethylpiperidine-1-oxyl free radical (QT) have been studied as a prefluorescent probe to monitor free radical processes in polymer films. This methodology takes advantage of the efficient intramolecular quenching of the fluorescence of quinoline by the paramagnetic nitroxide, which is disabled when TEMPO reacts with carbon-centered radicals. The fluorescence intensity-time profile observed in the thermal decomposition of 2,2′-azobis(isobutyronitrile) (AIBN) in poly(methyl methacrylate) (PMMA) films showed initial increments in the fluorescence with time, according to the trapping of carbon-centered radicals by QT in the polymer films. Comparison of data under nitrogen and oxygen saturation conditions suggests that oxygen trapping of the carbon-centered radicals at 90° is about 20 times faster than reaction with nitroxides. The activation energy for AIBN decomposition in PMMA was measured as 34.1 kcal/mol. Analysis of the fluorescence lifetime distribution establishes the involvement of both static and dynamic fluorescence quenching of the diamagnetic reaction product by AIBN.","author":[{"dropping-particle":"","family":"Aspée","given":"Alexis","non-dropping-particle":"","parse-names":false,"suffix":""},{"dropping-particle":"","family":"García","given":"Olga","non-dropping-particle":"","parse-names":false,"suffix":""},{"dropping-particle":"","family":"Maretti","given":"Luca","non-dropping-particle":"","parse-names":false,"suffix":""},{"dropping-particle":"","family":"Sastre","given":"Roberto","non-dropping-particle":"","parse-names":false,"suffix":""},{"dropping-particle":"","family":"Scaiano","given":"J. C.","non-dropping-particle":"","parse-names":false,"suffix":""}],"container-title":"Macromolecules","id":"ITEM-1","issue":"10","issued":{"date-parts":[["2003"]]},"page":"3550-3556","title":"Free radical reactions in poly(methyl methacrylate) films monitored using a prefluorescent quinoline-TEMPO sensor","type":"article-journal","volume":"36"},"uris":["http://www.mendeley.com/documents/?uuid=5e6e9e0e-bb5f-4032-8b4a-59f1ad97df2c"]},{"id":"ITEM-2","itemData":{"DOI":"10.1039/b705671k","ISSN":"14749092","abstract":"The photolysis of an alkoxyamine triad comprised of the 1-phenylethyl moiety, 2,2,6,6-tetramethylpiperidinyl-1-oxy (TEMPO) and 2-methyl-3-hydroxy quinoline leads to energy transfer from the quinoline moiety (antenna) and cleavage of the C-O alkoxyamine bond, suggesting its possible applications in low temperature living free radical polymerization. © The Royal Society of Chemistry and Owner Societies.","author":[{"dropping-particle":"","family":"Goto","given":"Atsushi","non-dropping-particle":"","parse-names":false,"suffix":""},{"dropping-particle":"","family":"Scaiano","given":"J. C.","non-dropping-particle":"","parse-names":false,"suffix":""},{"dropping-particle":"","family":"Maretti","given":"Luca","non-dropping-particle":"","parse-names":false,"suffix":""}],"container-title":"Photochemical and Photobiological Sciences","id":"ITEM-2","issue":"8","issued":{"date-parts":[["2007"]]},"page":"833-835","title":"Photolysis of an alkoxyamine using intramolecular energy transfer from a quinoline antenna - Towards photo-induced living radical polymerization","type":"article-journal","volume":"6"},"uris":["http://www.mendeley.com/documents/?uuid=899a57f9-63f2-45fa-9a3d-cfb4d9670a12"]},{"id":"ITEM-3","itemData":{"DOI":"10.1111/j.1751-1097.2007.00141.x","ISSN":"00318655","abstract":"Over the last decades scientists have faced growing requirements in novel methods of fast and sensitive analysis of antioxidant status of biological systems, spin redox probing and spin trapping, investigation of molecular dynamics, and of convenient models for studies of photophysical and photochemical processes. In approaching this problem, methods based upon the use of dual chromophore-nitroxide (CN) compounds have been suggested and developed. A CN consists of two molecular sub-functionality (a chromophore and a stable nitroxide radical) tethered together by spacers. In the dual compound the nitroxide is a strong intramolecular quencher of the fluorescence from the chromophore fragment. Reduction to hydroxylamine, oxidation of the nitroxide fragment or addition of an active radical yield the fluorescence increase and the parallel decay of the fragment electron spin resonance (ESR) signal. At certain conditions the dual molecules undergo photomagnetic switching and form excited state multi-spin systems. These unique properties of CN were intensively exploited as the basis for several methodologies, which include molecular probing, modeling intramolecular photochemical and photophysical processes, and construction of new magnetic materials. © 2007 The Authors.","author":[{"dropping-particle":"","family":"Likhtenstein","given":"Gertz I.","non-dropping-particle":"","parse-names":false,"suffix":""},{"dropping-particle":"","family":"Ishii","given":"Kazuyuki","non-dropping-particle":"","parse-names":false,"suffix":""},{"dropping-particle":"","family":"Nakatsuji","given":"Shin'ichi","non-dropping-particle":"","parse-names":false,"suffix":""}],"container-title":"Photochemistry and Photobiology","id":"ITEM-3","issue":"4","issued":{"date-parts":[["2007"]]},"page":"871-881","title":"Dual chromophore-nitroxides: Novel molecular probes, photochemical and photophysical models and magnetic materials","type":"article-journal","volume":"83"},"uris":["http://www.mendeley.com/documents/?uuid=a9a3a38a-72f7-403c-b4cc-46c9387e4164"]},{"id":"ITEM-4","itemData":{"DOI":"10.1351/pac200880102125","ISSN":"00334545","abstract":"Donor-acceptor structures capable of retaining the charge-photoseparated state during the time long enough for secondary chemical reactions of these charges to occur attract special interest from the viewpoint of the problem of light energy utilization. We proposed dual fluorophore-nitroxide compounds (FNO•) as systems for the conversion of light energy to chemical energy. In these systems, the fluorophore segment in the excited singlet state serves as an electron donor, and the nitroxide segment is an electron acceptor. In FNO•, the photo- and chemical reduction of nitroxide results in the drastic decay of the electron spin resonance (ESR) signal from the nitroxide and the parallel enhancement of fluorescence. The same groups allow one to measure the factors affecting the electron transfer, namely, molecular dynamics and micropolarity of the medium in the vicinity of the donor (by fluorescence technique) and acceptor (by ESR) moieties. We demonstrate that in the dual probes the nitroxide segment is photoreduced to hydroxylamine in solution and in such nanoscale structures as serum albumins. The photoreduction occurs by very weak reducing agents (glycerol, ethanol, ethylene glycol, etc.) without a violation of the fluorophore structure. Therefore, photochemical reactions in the dual compounds with the formation of a reducing agent as hydroxyl amine can be considered as processes of light energy transfer. The nitroxide segment tethered to the donor-bridge-acceptor triad affects the photoseparated charge recombination via the mechanism of spin catalysis. Proficiency of the dual compounds for developing energy conversion systems can be extended by an optimal choice of the participants of the photochemical and -physical processes. © 2008 IUPAC.","author":[{"dropping-particle":"","family":"Likhtenshtein","given":"Gertz I.","non-dropping-particle":"","parse-names":false,"suffix":""}],"container-title":"Pure and Applied Chemistry","id":"ITEM-4","issue":"10","issued":{"date-parts":[["2008"]]},"page":"2125-2139","title":"Factors affecting light energy conversion in dual fluorophore-nitroxide molecules in solution and a protein","type":"article-journal","volume":"80"},"uris":["http://www.mendeley.com/documents/?uuid=f22d18bd-93df-4762-ba27-166be93eafeb"]},{"id":"ITEM-5","itemData":{"DOI":"10.1155/2016/6482050","ISSN":"1687-9422","abstract":"Photosensitive alkoxyamine 2,2,6,6-tetramethyl-1-(1-phenylethoxy)piperidin-4-yl quinoline-2-carboxylate (PE-TEMPO-Q) was synthesized. Photochemical properties of PE-TEMPO-Q were studied to develop photoinduced nitroxide-mediated polymerization of methyl methacrylate (MMA). Rapid and facile polymerization at ambient temperature with PE-TEMPO-Q as an initiator was confirmed to proceed in a controlled mechanism based on the linear growth in molecular weight combined with relative narrow polydispersity index (1.4–1.8) of the resulting polymers. The stereochemistry of obtained polymers was also investigated, and the syndiotacticity slightly increased compared with the typical photopolymerization. Dual-controlled photopolymerization of MMA was achieved in the presence of synthesized alkoxyamine.","author":[{"dropping-particle":"","family":"Su","given":"Juahui","non-dropping-particle":"","parse-names":false,"suffix":""},{"dropping-particle":"","family":"Liu","given":"Xiaoxuan","non-dropping-particle":"","parse-names":false,"suffix":""},{"dropping-particle":"","family":"Li","given":"Maijun","non-dropping-particle":"","parse-names":false,"suffix":""},{"dropping-particle":"","family":"Zhang","given":"Ting","non-dropping-particle":"","parse-names":false,"suffix":""},{"dropping-particle":"","family":"Cui","given":"Yanyan","non-dropping-particle":"","parse-names":false,"suffix":""}],"container-title":"International Journal of Polymer Science","id":"ITEM-5","issued":{"date-parts":[["2016"]]},"page":"1-8","publisher":"Hindawi Publishing Corporation","title":"Stereocontrol of Methyl Methacrylate during Photoinduced Nitroxide-Mediated Polymerization in the Presence of Photosensitive Alkoxyamine","type":"article-journal","volume":"2016"},"uris":["http://www.mendeley.com/documents/?uuid=78f4503d-72fd-40e6-9643-62acacf49ad3"]},{"id":"ITEM-6","itemData":{"DOI":"10.1039/c3cp51723c","ISSN":"14639076","abstract":"A prefluorescent radical probe in which a 2,2,6,6-tetramethylpiperidine-N- oxyl (TEMPO) unit is sensitized with visible light via energy transfer from a tethered coumarin dye has been synthesized. The excited TEMPO moiety undergoes hydrogen abstraction from a polymer with concomitant functionalization of the polymeric matrix; this writing process can be reversed thermally. The fluorescent probes can be bleached under high intensity illumination, making these new materials suitable for dual-tone lithography with potential applications in sub-diffraction lithographic imaging. © the Owner Societies 2013.","author":[{"dropping-particle":"","family":"Impellizzeri","given":"Stefania","non-dropping-particle":"","parse-names":false,"suffix":""},{"dropping-particle":"","family":"Stamplecoskie","given":"Kevin G.","non-dropping-particle":"","parse-names":false,"suffix":""},{"dropping-particle":"","family":"Scaiano","given":"Juan C.","non-dropping-particle":"","parse-names":false,"suffix":""}],"container-title":"Physical Chemistry Chemical Physics","id":"ITEM-6","issue":"36","issued":{"date-parts":[["2013"]]},"page":"14873-14878","title":"Sensitized excited free-radical processes as read-write tools: Impact on non-linear lithographic processes","type":"article-journal","volume":"15"},"uris":["http://www.mendeley.com/documents/?uuid=017f0e8a-dec8-4d02-9ea6-c0c781e5acd9"]}],"mendeley":{"formattedCitation":"&lt;sup&gt;[21,22,29–32]&lt;/sup&gt;","plainTextFormattedCitation":"[21,22,29–32]","previouslyFormattedCitation":"&lt;sup&gt;[21,22,29–32]&lt;/sup&gt;"},"properties":{"noteIndex":0},"schema":"https://github.com/citation-style-language/schema/raw/master/csl-citation.json"}</w:instrText>
      </w:r>
      <w:r w:rsidR="00943A97" w:rsidRPr="00BA5773">
        <w:fldChar w:fldCharType="separate"/>
      </w:r>
      <w:r w:rsidR="0074268C" w:rsidRPr="00BA5773">
        <w:rPr>
          <w:noProof/>
          <w:vertAlign w:val="superscript"/>
        </w:rPr>
        <w:t>[21,22,29–32]</w:t>
      </w:r>
      <w:r w:rsidR="00943A97" w:rsidRPr="00BA5773">
        <w:fldChar w:fldCharType="end"/>
      </w:r>
      <w:r w:rsidR="000A0289" w:rsidRPr="00BA5773">
        <w:t xml:space="preserve"> It follows that such </w:t>
      </w:r>
      <w:r w:rsidR="00732DCA" w:rsidRPr="00BA5773">
        <w:t xml:space="preserve">a </w:t>
      </w:r>
      <w:r w:rsidR="000A0289" w:rsidRPr="00BA5773">
        <w:t xml:space="preserve">design permits </w:t>
      </w:r>
      <w:r w:rsidR="00775838" w:rsidRPr="00BA5773">
        <w:t xml:space="preserve">hydrogen abstraction or radical trapping </w:t>
      </w:r>
      <w:r w:rsidR="000A0289" w:rsidRPr="00BA5773">
        <w:t>initiated purely by</w:t>
      </w:r>
      <w:r w:rsidR="00775838" w:rsidRPr="00BA5773">
        <w:t xml:space="preserve"> </w:t>
      </w:r>
      <w:r w:rsidR="00C12207" w:rsidRPr="00BA5773">
        <w:t xml:space="preserve">a </w:t>
      </w:r>
      <w:r w:rsidR="00775838" w:rsidRPr="00BA5773">
        <w:t xml:space="preserve">photochemical process. </w:t>
      </w:r>
      <w:r w:rsidR="007B202A" w:rsidRPr="00BA5773">
        <w:t xml:space="preserve">Herein, we synthesized compound </w:t>
      </w:r>
      <w:r w:rsidR="00FB277A" w:rsidRPr="00BA5773">
        <w:rPr>
          <w:b/>
          <w:bCs/>
        </w:rPr>
        <w:t>1</w:t>
      </w:r>
      <w:r w:rsidR="00C7551B" w:rsidRPr="00BA5773">
        <w:t xml:space="preserve"> (Scheme 1)</w:t>
      </w:r>
      <w:r w:rsidR="007B202A" w:rsidRPr="00BA5773">
        <w:t xml:space="preserve">, in which TEMPO was coupled with </w:t>
      </w:r>
      <w:r w:rsidR="00724AC8" w:rsidRPr="00BA5773">
        <w:t xml:space="preserve">the UVA absorbing chromophore </w:t>
      </w:r>
      <w:r w:rsidR="00732DCA" w:rsidRPr="00BA5773">
        <w:t>3-h</w:t>
      </w:r>
      <w:r w:rsidR="00632130" w:rsidRPr="00BA5773">
        <w:t>ydroxy-2-methyl-4-quinolinecarboxylic acid</w:t>
      </w:r>
      <w:r w:rsidR="00296B1E" w:rsidRPr="00BA5773">
        <w:t xml:space="preserve"> (abbreviated as </w:t>
      </w:r>
      <w:r w:rsidR="00296B1E" w:rsidRPr="00BA5773">
        <w:rPr>
          <w:b/>
          <w:bCs/>
        </w:rPr>
        <w:t>Q</w:t>
      </w:r>
      <w:r w:rsidR="00296B1E" w:rsidRPr="00BA5773">
        <w:t>)</w:t>
      </w:r>
      <w:r w:rsidR="00857F2B" w:rsidRPr="00BA5773">
        <w:t>,</w:t>
      </w:r>
      <w:r w:rsidR="00FF25EF" w:rsidRPr="00BA5773">
        <w:t xml:space="preserve"> </w:t>
      </w:r>
      <w:r w:rsidR="00732DCA" w:rsidRPr="00BA5773">
        <w:t>and studied</w:t>
      </w:r>
      <w:r w:rsidR="00C43AD3" w:rsidRPr="00BA5773">
        <w:t xml:space="preserve"> </w:t>
      </w:r>
      <w:r w:rsidR="00FB277A" w:rsidRPr="00BA5773">
        <w:t xml:space="preserve">its </w:t>
      </w:r>
      <w:r w:rsidR="00C43AD3" w:rsidRPr="00BA5773">
        <w:t xml:space="preserve">light-induced chemical processes </w:t>
      </w:r>
      <w:r w:rsidR="007231F7" w:rsidRPr="00BA5773">
        <w:t xml:space="preserve">at low irradiation power </w:t>
      </w:r>
      <w:r w:rsidR="0038089D" w:rsidRPr="00BA5773">
        <w:t>with spectrometric techniques</w:t>
      </w:r>
      <w:r w:rsidR="00FB277A" w:rsidRPr="00BA5773">
        <w:t xml:space="preserve">. </w:t>
      </w:r>
      <w:r w:rsidR="00C7551B" w:rsidRPr="00BA5773">
        <w:t>Specifically, we investigate</w:t>
      </w:r>
      <w:r w:rsidR="00857F2B" w:rsidRPr="00BA5773">
        <w:t>d</w:t>
      </w:r>
      <w:r w:rsidR="00C7551B" w:rsidRPr="00BA5773">
        <w:t xml:space="preserve"> its ability to undergo H</w:t>
      </w:r>
      <w:r w:rsidR="0057673D">
        <w:t xml:space="preserve"> </w:t>
      </w:r>
      <w:r w:rsidR="00C7551B" w:rsidRPr="00BA5773">
        <w:t>abstraction from a polymer matrix</w:t>
      </w:r>
      <w:r w:rsidR="00AE39EA" w:rsidRPr="00BA5773">
        <w:t xml:space="preserve"> upon energy transfer</w:t>
      </w:r>
      <w:r w:rsidR="008658BD" w:rsidRPr="00BA5773">
        <w:t xml:space="preserve"> from </w:t>
      </w:r>
      <w:r w:rsidR="008658BD" w:rsidRPr="00BA5773">
        <w:rPr>
          <w:b/>
          <w:bCs/>
        </w:rPr>
        <w:t>Q</w:t>
      </w:r>
      <w:r w:rsidR="008658BD" w:rsidRPr="00BA5773">
        <w:t xml:space="preserve"> to TEMPO.</w:t>
      </w:r>
    </w:p>
    <w:p w14:paraId="28EC89A9" w14:textId="2976A083" w:rsidR="00107110" w:rsidRPr="00BA5773" w:rsidRDefault="00983B8E" w:rsidP="00695CAF">
      <w:pPr>
        <w:spacing w:beforeLines="120" w:before="288" w:afterLines="120" w:after="288" w:line="360" w:lineRule="auto"/>
        <w:ind w:firstLine="567"/>
        <w:jc w:val="center"/>
        <w:rPr>
          <w:b/>
          <w:bCs/>
          <w:sz w:val="22"/>
          <w:szCs w:val="20"/>
        </w:rPr>
      </w:pPr>
      <w:r w:rsidRPr="00BA5773">
        <w:rPr>
          <w:b/>
          <w:bCs/>
          <w:noProof/>
          <w:sz w:val="22"/>
          <w:szCs w:val="20"/>
        </w:rPr>
        <w:lastRenderedPageBreak/>
        <w:drawing>
          <wp:inline distT="0" distB="0" distL="0" distR="0" wp14:anchorId="755CA6FC" wp14:editId="7A41B6A2">
            <wp:extent cx="3060000" cy="128780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3510" b="3603"/>
                    <a:stretch/>
                  </pic:blipFill>
                  <pic:spPr bwMode="auto">
                    <a:xfrm>
                      <a:off x="0" y="0"/>
                      <a:ext cx="3060000" cy="1287800"/>
                    </a:xfrm>
                    <a:prstGeom prst="rect">
                      <a:avLst/>
                    </a:prstGeom>
                    <a:noFill/>
                    <a:ln>
                      <a:noFill/>
                    </a:ln>
                    <a:extLst>
                      <a:ext uri="{53640926-AAD7-44D8-BBD7-CCE9431645EC}">
                        <a14:shadowObscured xmlns:a14="http://schemas.microsoft.com/office/drawing/2010/main"/>
                      </a:ext>
                    </a:extLst>
                  </pic:spPr>
                </pic:pic>
              </a:graphicData>
            </a:graphic>
          </wp:inline>
        </w:drawing>
      </w:r>
    </w:p>
    <w:p w14:paraId="65F9F1CC" w14:textId="472DAD80" w:rsidR="001C20B8" w:rsidRPr="00BA5773" w:rsidRDefault="00403450" w:rsidP="00695CAF">
      <w:pPr>
        <w:spacing w:beforeLines="120" w:before="288" w:afterLines="120" w:after="288" w:line="360" w:lineRule="auto"/>
        <w:ind w:firstLine="567"/>
        <w:jc w:val="center"/>
        <w:rPr>
          <w:b/>
          <w:bCs/>
          <w:sz w:val="22"/>
          <w:szCs w:val="20"/>
        </w:rPr>
      </w:pPr>
      <w:r w:rsidRPr="00BA5773">
        <w:rPr>
          <w:b/>
          <w:bCs/>
          <w:sz w:val="22"/>
          <w:szCs w:val="20"/>
        </w:rPr>
        <w:t>Scheme</w:t>
      </w:r>
      <w:r w:rsidR="002921F9" w:rsidRPr="00BA5773">
        <w:rPr>
          <w:b/>
          <w:bCs/>
          <w:sz w:val="22"/>
          <w:szCs w:val="20"/>
        </w:rPr>
        <w:t xml:space="preserve"> 1</w:t>
      </w:r>
      <w:r w:rsidRPr="00BA5773">
        <w:rPr>
          <w:b/>
          <w:bCs/>
          <w:sz w:val="22"/>
          <w:szCs w:val="20"/>
        </w:rPr>
        <w:t>.</w:t>
      </w:r>
      <w:r w:rsidR="0038089D" w:rsidRPr="00BA5773">
        <w:rPr>
          <w:b/>
          <w:bCs/>
          <w:sz w:val="22"/>
          <w:szCs w:val="20"/>
        </w:rPr>
        <w:t xml:space="preserve"> </w:t>
      </w:r>
      <w:r w:rsidR="00732DCA" w:rsidRPr="00BA5773">
        <w:rPr>
          <w:sz w:val="22"/>
          <w:szCs w:val="20"/>
        </w:rPr>
        <w:t>Chemical s</w:t>
      </w:r>
      <w:r w:rsidR="0038089D" w:rsidRPr="00BA5773">
        <w:rPr>
          <w:sz w:val="22"/>
          <w:szCs w:val="20"/>
        </w:rPr>
        <w:t xml:space="preserve">tructures of compounds </w:t>
      </w:r>
      <w:r w:rsidR="0038089D" w:rsidRPr="00BA5773">
        <w:rPr>
          <w:b/>
          <w:bCs/>
          <w:sz w:val="22"/>
          <w:szCs w:val="20"/>
        </w:rPr>
        <w:t>1</w:t>
      </w:r>
      <w:r w:rsidR="0038089D" w:rsidRPr="00BA5773">
        <w:rPr>
          <w:sz w:val="22"/>
          <w:szCs w:val="20"/>
        </w:rPr>
        <w:t>-</w:t>
      </w:r>
      <w:r w:rsidR="00B83B7B" w:rsidRPr="00BA5773">
        <w:rPr>
          <w:b/>
          <w:bCs/>
          <w:sz w:val="22"/>
          <w:szCs w:val="20"/>
        </w:rPr>
        <w:t>4</w:t>
      </w:r>
      <w:r w:rsidR="0038089D" w:rsidRPr="00BA5773">
        <w:rPr>
          <w:sz w:val="22"/>
          <w:szCs w:val="20"/>
        </w:rPr>
        <w:t>.</w:t>
      </w:r>
      <w:r w:rsidR="00732DCA" w:rsidRPr="00BA5773">
        <w:rPr>
          <w:sz w:val="22"/>
          <w:szCs w:val="20"/>
        </w:rPr>
        <w:t xml:space="preserve"> Glowing</w:t>
      </w:r>
      <w:r w:rsidR="00DC2693" w:rsidRPr="00BA5773">
        <w:rPr>
          <w:sz w:val="22"/>
          <w:szCs w:val="20"/>
        </w:rPr>
        <w:t xml:space="preserve"> structure</w:t>
      </w:r>
      <w:r w:rsidR="00732DCA" w:rsidRPr="00BA5773">
        <w:rPr>
          <w:sz w:val="22"/>
          <w:szCs w:val="20"/>
        </w:rPr>
        <w:t>s indicate</w:t>
      </w:r>
      <w:r w:rsidR="00DC2693" w:rsidRPr="00BA5773">
        <w:rPr>
          <w:sz w:val="22"/>
          <w:szCs w:val="20"/>
        </w:rPr>
        <w:t xml:space="preserve"> fluorescence. </w:t>
      </w:r>
    </w:p>
    <w:p w14:paraId="4A1D36D4" w14:textId="551B5351" w:rsidR="00BA5AB2" w:rsidRPr="00BA5773" w:rsidRDefault="002E04C3" w:rsidP="00695CAF">
      <w:pPr>
        <w:spacing w:beforeLines="120" w:before="288" w:afterLines="120" w:after="288" w:line="360" w:lineRule="auto"/>
        <w:rPr>
          <w:b/>
          <w:bCs/>
          <w:sz w:val="28"/>
          <w:szCs w:val="24"/>
        </w:rPr>
      </w:pPr>
      <w:r w:rsidRPr="00BA5773">
        <w:rPr>
          <w:b/>
          <w:bCs/>
          <w:sz w:val="28"/>
          <w:szCs w:val="24"/>
        </w:rPr>
        <w:t>Results and Discussion</w:t>
      </w:r>
    </w:p>
    <w:p w14:paraId="7817BEDA" w14:textId="238E000D" w:rsidR="0014371D" w:rsidRPr="00BA5773" w:rsidRDefault="00B72385" w:rsidP="00695CAF">
      <w:pPr>
        <w:spacing w:beforeLines="120" w:before="288" w:afterLines="120" w:after="288" w:line="360" w:lineRule="auto"/>
        <w:jc w:val="both"/>
        <w:rPr>
          <w:sz w:val="22"/>
          <w:szCs w:val="20"/>
        </w:rPr>
      </w:pPr>
      <w:r w:rsidRPr="00BA5773">
        <w:rPr>
          <w:b/>
          <w:bCs/>
          <w:szCs w:val="24"/>
        </w:rPr>
        <w:t>Photochemistry</w:t>
      </w:r>
      <w:r w:rsidR="006A4E81" w:rsidRPr="00BA5773">
        <w:rPr>
          <w:b/>
          <w:bCs/>
          <w:szCs w:val="24"/>
        </w:rPr>
        <w:t xml:space="preserve"> of </w:t>
      </w:r>
      <w:r w:rsidR="0014371D" w:rsidRPr="00BA5773">
        <w:rPr>
          <w:b/>
          <w:bCs/>
          <w:szCs w:val="24"/>
        </w:rPr>
        <w:t>1</w:t>
      </w:r>
      <w:r w:rsidR="0065601E" w:rsidRPr="00BA5773">
        <w:rPr>
          <w:b/>
          <w:bCs/>
          <w:szCs w:val="24"/>
        </w:rPr>
        <w:t xml:space="preserve"> in CH</w:t>
      </w:r>
      <w:r w:rsidR="0065601E" w:rsidRPr="00BA5773">
        <w:rPr>
          <w:b/>
          <w:bCs/>
          <w:szCs w:val="24"/>
          <w:vertAlign w:val="subscript"/>
        </w:rPr>
        <w:t>3</w:t>
      </w:r>
      <w:r w:rsidR="0065601E" w:rsidRPr="00BA5773">
        <w:rPr>
          <w:b/>
          <w:bCs/>
          <w:szCs w:val="24"/>
        </w:rPr>
        <w:t>CN</w:t>
      </w:r>
      <w:r w:rsidR="0014371D" w:rsidRPr="00BA5773">
        <w:rPr>
          <w:b/>
          <w:bCs/>
          <w:szCs w:val="24"/>
        </w:rPr>
        <w:t xml:space="preserve"> </w:t>
      </w:r>
      <w:r w:rsidR="001E6594" w:rsidRPr="00BA5773">
        <w:rPr>
          <w:b/>
          <w:bCs/>
          <w:szCs w:val="24"/>
        </w:rPr>
        <w:t>and C</w:t>
      </w:r>
      <w:r w:rsidR="001E6594" w:rsidRPr="00BA5773">
        <w:rPr>
          <w:b/>
          <w:bCs/>
          <w:szCs w:val="24"/>
          <w:vertAlign w:val="subscript"/>
        </w:rPr>
        <w:t>6</w:t>
      </w:r>
      <w:r w:rsidR="001E6594" w:rsidRPr="00BA5773">
        <w:rPr>
          <w:b/>
          <w:bCs/>
          <w:szCs w:val="24"/>
        </w:rPr>
        <w:t>H</w:t>
      </w:r>
      <w:r w:rsidR="001E6594" w:rsidRPr="00BA5773">
        <w:rPr>
          <w:b/>
          <w:bCs/>
          <w:szCs w:val="24"/>
          <w:vertAlign w:val="subscript"/>
        </w:rPr>
        <w:t>6</w:t>
      </w:r>
    </w:p>
    <w:p w14:paraId="4619482D" w14:textId="0A1FCA45" w:rsidR="001D091D" w:rsidRPr="00BA5773" w:rsidRDefault="00630D61" w:rsidP="003C7150">
      <w:pPr>
        <w:spacing w:beforeLines="120" w:before="288" w:after="0" w:line="360" w:lineRule="auto"/>
        <w:ind w:firstLine="567"/>
        <w:jc w:val="both"/>
      </w:pPr>
      <w:r w:rsidRPr="00BA5773">
        <w:t xml:space="preserve">The absorption spectrum of </w:t>
      </w:r>
      <w:r w:rsidRPr="00BA5773">
        <w:rPr>
          <w:b/>
          <w:bCs/>
        </w:rPr>
        <w:t>1</w:t>
      </w:r>
      <w:r w:rsidRPr="00BA5773">
        <w:t xml:space="preserve"> in CH</w:t>
      </w:r>
      <w:r w:rsidRPr="00BA5773">
        <w:rPr>
          <w:vertAlign w:val="subscript"/>
        </w:rPr>
        <w:t>3</w:t>
      </w:r>
      <w:r w:rsidRPr="00BA5773">
        <w:t xml:space="preserve">CN (Figure </w:t>
      </w:r>
      <w:r w:rsidR="0014371D" w:rsidRPr="00BA5773">
        <w:t xml:space="preserve">S1, </w:t>
      </w:r>
      <w:r w:rsidR="007E39BE" w:rsidRPr="00BA5773">
        <w:t>Supporting</w:t>
      </w:r>
      <w:r w:rsidR="0014371D" w:rsidRPr="00BA5773">
        <w:t xml:space="preserve"> Information</w:t>
      </w:r>
      <w:r w:rsidRPr="00BA5773">
        <w:t xml:space="preserve">) shows </w:t>
      </w:r>
      <w:r w:rsidR="00147261" w:rsidRPr="00BA5773">
        <w:t>a</w:t>
      </w:r>
      <w:r w:rsidR="00F36E26" w:rsidRPr="00BA5773">
        <w:t xml:space="preserve"> band </w:t>
      </w:r>
      <w:r w:rsidR="00147261" w:rsidRPr="00BA5773">
        <w:t>attributable to t</w:t>
      </w:r>
      <w:r w:rsidR="00F36E26" w:rsidRPr="00BA5773">
        <w:t xml:space="preserve">he </w:t>
      </w:r>
      <w:r w:rsidR="0014371D" w:rsidRPr="00BA5773">
        <w:t>quinoline</w:t>
      </w:r>
      <w:r w:rsidR="00C96E04" w:rsidRPr="00BA5773">
        <w:t xml:space="preserve"> (</w:t>
      </w:r>
      <w:r w:rsidR="0014371D" w:rsidRPr="00BA5773">
        <w:rPr>
          <w:b/>
          <w:bCs/>
        </w:rPr>
        <w:t>Q</w:t>
      </w:r>
      <w:r w:rsidR="00C96E04" w:rsidRPr="00BA5773">
        <w:t>)</w:t>
      </w:r>
      <w:r w:rsidR="00F36E26" w:rsidRPr="00BA5773">
        <w:t xml:space="preserve"> </w:t>
      </w:r>
      <w:r w:rsidR="0014371D" w:rsidRPr="00BA5773">
        <w:t>chromophore</w:t>
      </w:r>
      <w:r w:rsidR="00F36E26" w:rsidRPr="00BA5773">
        <w:t xml:space="preserve"> at </w:t>
      </w:r>
      <w:r w:rsidR="00F36E26" w:rsidRPr="00BA5773">
        <w:rPr>
          <w:rFonts w:ascii="Symbol" w:hAnsi="Symbol"/>
        </w:rPr>
        <w:t></w:t>
      </w:r>
      <w:r w:rsidR="00F36E26" w:rsidRPr="00BA5773">
        <w:rPr>
          <w:vertAlign w:val="subscript"/>
        </w:rPr>
        <w:t>Abs</w:t>
      </w:r>
      <w:r w:rsidR="00F36E26" w:rsidRPr="00BA5773">
        <w:t xml:space="preserve"> = </w:t>
      </w:r>
      <w:r w:rsidR="0014371D" w:rsidRPr="00BA5773">
        <w:t>340</w:t>
      </w:r>
      <w:r w:rsidR="00F36E26" w:rsidRPr="00BA5773">
        <w:t xml:space="preserve"> nm, while its emission spectrum (Figure </w:t>
      </w:r>
      <w:r w:rsidR="0014371D" w:rsidRPr="00BA5773">
        <w:t>S</w:t>
      </w:r>
      <w:r w:rsidR="00316A40" w:rsidRPr="00BA5773">
        <w:t>1</w:t>
      </w:r>
      <w:r w:rsidR="00F36E26" w:rsidRPr="00BA5773">
        <w:t xml:space="preserve">) reveals that the fluorescence </w:t>
      </w:r>
      <w:r w:rsidR="004E2290" w:rsidRPr="00BA5773">
        <w:t xml:space="preserve">at </w:t>
      </w:r>
      <w:r w:rsidR="004E2290" w:rsidRPr="00BA5773">
        <w:rPr>
          <w:rFonts w:ascii="Symbol" w:hAnsi="Symbol"/>
        </w:rPr>
        <w:t></w:t>
      </w:r>
      <w:r w:rsidR="004E2290" w:rsidRPr="00BA5773">
        <w:rPr>
          <w:vertAlign w:val="subscript"/>
        </w:rPr>
        <w:t>Em</w:t>
      </w:r>
      <w:r w:rsidR="004E2290" w:rsidRPr="00BA5773">
        <w:t xml:space="preserve"> = 400 nm </w:t>
      </w:r>
      <w:r w:rsidR="00F36E26" w:rsidRPr="00BA5773">
        <w:t>is</w:t>
      </w:r>
      <w:r w:rsidR="0014371D" w:rsidRPr="00BA5773">
        <w:t xml:space="preserve"> largely </w:t>
      </w:r>
      <w:r w:rsidR="00F36E26" w:rsidRPr="00BA5773">
        <w:t>quenched</w:t>
      </w:r>
      <w:r w:rsidR="0014371D" w:rsidRPr="00BA5773">
        <w:t>, as expected for fluorophore-TEMPO dyads</w:t>
      </w:r>
      <w:r w:rsidR="004F11A4" w:rsidRPr="00BA5773">
        <w:t xml:space="preserve"> </w:t>
      </w:r>
      <w:r w:rsidR="004242AA" w:rsidRPr="00BA5773">
        <w:t xml:space="preserve">and as illustrated by </w:t>
      </w:r>
      <w:r w:rsidR="004F11A4" w:rsidRPr="00BA5773">
        <w:t xml:space="preserve">the </w:t>
      </w:r>
      <w:r w:rsidR="00857F2B" w:rsidRPr="00BA5773">
        <w:t>comparison between the</w:t>
      </w:r>
      <w:r w:rsidR="007731A8" w:rsidRPr="00BA5773">
        <w:t xml:space="preserve"> </w:t>
      </w:r>
      <w:r w:rsidR="004F11A4" w:rsidRPr="00BA5773">
        <w:t xml:space="preserve">emission spectra of </w:t>
      </w:r>
      <w:r w:rsidR="0014371D" w:rsidRPr="00BA5773">
        <w:rPr>
          <w:b/>
          <w:bCs/>
        </w:rPr>
        <w:t>Q</w:t>
      </w:r>
      <w:r w:rsidR="004F11A4" w:rsidRPr="00BA5773">
        <w:t xml:space="preserve"> and </w:t>
      </w:r>
      <w:r w:rsidR="004F11A4" w:rsidRPr="00BA5773">
        <w:rPr>
          <w:b/>
          <w:bCs/>
        </w:rPr>
        <w:t>1</w:t>
      </w:r>
      <w:r w:rsidR="004F11A4" w:rsidRPr="00BA5773">
        <w:t xml:space="preserve"> </w:t>
      </w:r>
      <w:r w:rsidR="004242AA" w:rsidRPr="00BA5773">
        <w:t>(</w:t>
      </w:r>
      <w:r w:rsidR="004F11A4" w:rsidRPr="00BA5773">
        <w:t>Figure S</w:t>
      </w:r>
      <w:r w:rsidR="00587E52" w:rsidRPr="00BA5773">
        <w:t>2</w:t>
      </w:r>
      <w:r w:rsidR="004F11A4" w:rsidRPr="00BA5773">
        <w:t>)</w:t>
      </w:r>
      <w:r w:rsidR="00F36E26" w:rsidRPr="00BA5773">
        <w:t>.</w:t>
      </w:r>
      <w:r w:rsidR="00147261" w:rsidRPr="00BA5773">
        <w:t xml:space="preserve"> </w:t>
      </w:r>
      <w:r w:rsidR="002A3214" w:rsidRPr="00BA5773">
        <w:t>P</w:t>
      </w:r>
      <w:r w:rsidR="00147261" w:rsidRPr="00BA5773">
        <w:t>aramagnetic nitroxides covalently linked to fluorophores are well known to quench the excited states of the latter.</w:t>
      </w:r>
      <w:r w:rsidR="0015560E" w:rsidRPr="00BA5773">
        <w:fldChar w:fldCharType="begin" w:fldLock="1"/>
      </w:r>
      <w:r w:rsidR="00E92323">
        <w:instrText>ADDIN CSL_CITATION {"citationItems":[{"id":"ITEM-1","itemData":{"DOI":"10.1021/ja00214a041","ISSN":"15205126","abstract":"The absorption and fluorescence emission spectra and quantum yields of a series of paramagnetic nitroxide-naphthalene adducts are compared with those of diamagnetic analogues. While the absorption and emission energies of these compounds are unaffected by the presence of the nitroxyl radical substituent(s), the fluorescence quantum yields of the paramagnetic derivatives are 2.9- to 60-fold lower than the corresponding diamagnetic derivatives. Additionally, chemical reduction of the nitroxide moiety to a diamagnetic hydroxylamine produces a fluorescence yield increase that parallels nitroxyl radical loss. On the basis of this chemically mediated optical switching, compounds of this class may prove to be broadly applicable as sensitive optical probes for radicals and redox-active species in biological and chemical systems. © 1988, American Chemical Society. All rights reserved.","author":[{"dropping-particle":"V.","family":"Blough","given":"Neil","non-dropping-particle":"","parse-names":false,"suffix":""},{"dropping-particle":"","family":"Simpson","given":"Daniel J.","non-dropping-particle":"","parse-names":false,"suffix":""}],"container-title":"Journal of the American Chemical Society","id":"ITEM-1","issue":"6","issued":{"date-parts":[["1988"]]},"page":"1915-1917","title":"Chemically Mediated Fluorescence Yield Switching in Nitroxide-Fluorophore Adducts: Optical Sensors of Radical/Redox Reactions","type":"article-journal","volume":"110"},"uris":["http://www.mendeley.com/documents/?uuid=550fbc16-7c53-4dd1-9e80-07688370fff0"]},{"id":"ITEM-2","itemData":{"DOI":"10.1021/ja00176a038","ISSN":"15205126","abstract":"Absorbance and steady-state and time-resolved fluorescence measurements were employed to examine the mechanism(s) of excited singlet state quenching by nitroxides in a series of nitroxide-fluorophore adducts. This work establishes the following: (1) the absorption and emission energies of the fluorophores are unaffected by the presence of the nitroxide substituent(s), and the residual emission that is observed from the adducts arises from the locally excited singlet of the fluorophore, not from charge recombination; (2) rate constants for intramolecular quenching by the nitroxides (kq) are high (108-1010 s-1) and decrease significantly with increasing nitroxide to fluorophore distance-however, relatively high rates of quenching (&gt;108 s-1) are observed over distances as great as 12 Å (3) Forster energy transfer does not contribute significantly to the quenching due to the low values for the spectral overlap integrals; (4) the kq's do not increase proportionally to the solvent-dependent increases in the Dexter overlap integral, indicating that energy transfer by the Dexter mechanism is not responsible for the quenching; (5) the values of kq show no obvious correlation with the calculated free energies for photoinduced electron transfer, suggesting that this quenching pathway is also unimportant; (6) for hematoporphyrin-nitroxide adducts, which contain a fluorophore whose singlet energy is below that of the first excited state energy of the nitroxide (thusprecluding energy transfer), significant rates of quenching are still observed; (7) for compounds with similar nitroxide-fluorophore distance, an approximately linear correlation is observed between the kq's of the paramagnetic compounds and the nonradiative rate constants of the diamagnetic reference compounds, suggesting that the nitroxide moiety catalyses a preexisting nonradiative pathway in the fluorophore. These results indicate that the quenching arises through electron exchange which causes relaxation of the (local) singlet state to the triplet and/or ground state of the fluorophore. © 1990, American Chemical Society. All rights reserved.","author":[{"dropping-particle":"","family":"Green","given":"S. A.","non-dropping-particle":"","parse-names":false,"suffix":""},{"dropping-particle":"","family":"Simpson","given":"D. J.","non-dropping-particle":"","parse-names":false,"suffix":""},{"dropping-particle":"","family":"Zhou","given":"G.","non-dropping-particle":"","parse-names":false,"suffix":""},{"dropping-particle":"","family":"Ho","given":"P. S.","non-dropping-particle":"","parse-names":false,"suffix":""},{"dropping-particle":"V.","family":"Blough","given":"N.","non-dropping-particle":"","parse-names":false,"suffix":""}],"container-title":"Journal of the American Chemical Society","id":"ITEM-2","issue":"20","issued":{"date-parts":[["1990"]]},"page":"7337-7346","title":"Intramolecular Quenching of Excited Singlet States by StableNitroxyl Radicals","type":"article-journal","volume":"112"},"uris":["http://www.mendeley.com/documents/?uuid=8f71c724-546c-459e-98af-0cd2921cdab8"]},{"id":"ITEM-3","itemData":{"DOI":"10.1111/j.1751-1097.2008.00381.x","ISSN":"00318655","PMID":"18627524","abstract":"The photophysical properties of the nitroxide prefluorescent probes 4-(3-hydroxy-2-methyl-4-quinolinoyloxy)-2,2,6,6-tetramethyl-piperidin-4-yl) ester free radical (QT) and 2,3,4,6,7,8-hexahydro-quinolizino [1,10,9-gh] coumarin-3-carboxylic acid (1-oxyl-2,2,6,6-tetramethyl-piperidin-4-yl) ester free radical (C343T) were evaluated as a function of pH and solvent properties. The absorbance of QT showed high pH sensitivity. The pKa values for the different ionization forms involved in the acid-base equilibrium of the quinoline chromophore were determined in the ground and excited states. The fluorescence lifetimes of QT, and N-hydroxylamine (QTH) and quinoline methyl ester (QMe) derivatives, showed that the intramolecular quenching efficiency by the nitroxide moiety is independent of the quinoline ionization form. The fluorescence and absorbance of C343T were highly sensitive to solvent polarity in agreement with a charged transfer excited state of the chromophore. However, we noted a decrease in the intramolecular fluorescence quenching efficiency by the nitroxide moiety when changing the polarity of the solvent from hexane to water. This behavior has been attributed to a suppression of an energy transfer mechanism in the nitroxide quenching process in very polar solvents. The results obtained in micelles allow us to propose QT and C 343T as sensors for pH and micropolarity, respectively, in addition to their role as monitors for free radicals or hydrogen transfer from phenols. © 2008 The American Society of Photobiology.","author":[{"dropping-particle":"","family":"Bueno","given":"Claudia","non-dropping-particle":"","parse-names":false,"suffix":""},{"dropping-particle":"","family":"Mikelsons","given":"Larisa","non-dropping-particle":"","parse-names":false,"suffix":""},{"dropping-particle":"","family":"Maretti","given":"Luca","non-dropping-particle":"","parse-names":false,"suffix":""},{"dropping-particle":"","family":"Scaiano","given":"J. C.","non-dropping-particle":"","parse-names":false,"suffix":""},{"dropping-particle":"","family":"Aspée","given":"Alexis","non-dropping-particle":"","parse-names":false,"suffix":""}],"container-title":"Photochemistry and Photobiology","id":"ITEM-3","issue":"6","issued":{"date-parts":[["2008"]]},"page":"1535-1542","title":"Photophysical properties of the prefluorescent nitroxide probes QT and C343T","type":"article-journal","volume":"84"},"uris":["http://www.mendeley.com/documents/?uuid=a335d9ed-5483-483c-8378-96f7220698ee"]},{"id":"ITEM-4","itemData":{"DOI":"10.1016/j.saa.2007.09.015","ISSN":"13861425","PMID":"18029225","abstract":"Two hybrid compounds 6 and 7, linked via an ester-bond between the 7-hydroxyl residue of an umbelliferone 1 and a carboxylic acid residue of two nitroxide radicals 3 and 4, and one hybrid compound 8, linked via an ester-bond between a 3-carboxylic acid residue of umbelliferone 2 and a hydroxyl residue of nitroxide radical 5, were synthesized in good yields, and their fluorescence and ESR spectra before and after the addition of l-ascorbic acid sodium salt in PBS (pH 7.0) were measured. The ESR intensities of 6 and 7 were proportionally reduced after the addition of ascorbic acid sodium salt, and their fluorescence intensities were increased maximally by eight- and nine-fold, respectively. However, the fluorescence intensity of 8 was essentially unchanged. © 2007 Elsevier B.V. All rights reserved.","author":[{"dropping-particle":"","family":"Sato","given":"Shingo","non-dropping-particle":"","parse-names":false,"suffix":""},{"dropping-particle":"","family":"Suzuki","given":"Minoru","non-dropping-particle":"","parse-names":false,"suffix":""},{"dropping-particle":"","family":"Soma","given":"Tomoki","non-dropping-particle":"","parse-names":false,"suffix":""},{"dropping-particle":"","family":"Tsunoda","given":"Minoru","non-dropping-particle":"","parse-names":false,"suffix":""}],"container-title":"Spectrochimica Acta - Part A: Molecular and Biomolecular Spectroscopy","id":"ITEM-4","issue":"4","issued":{"date-parts":[["2008"]]},"page":"799-804","title":"Synthesis and properties of umbelliferone-nitroxide radical hybrid compounds as fluorescence and spin-label probes","type":"article-journal","volume":"70"},"uris":["http://www.mendeley.com/documents/?uuid=d492aa69-892a-417e-95dd-ab815c401e51"]},{"id":"ITEM-5","itemData":{"DOI":"10.1016/j.saa.2008.07.045","ISSN":"13861425","PMID":"18790663","abstract":"Various hybrid compounds comprised of two types of nitroxide radicals and either a pentamethine (Cy5) or trimethine cyanine (Cy3) were synthesized. The nitroxide radicals were linked either via an ester-bond to one or two N-alkyl carboxyl-terminated groups of Cy5, or via two amido-bonds (aminocarbonyl or carbonylamino group) to the 5-position of the indolenine moieties of Cy5 and Cy3. Changes in fluorescence and ESR intensities of the hybrid compounds were measured before and after addition of Na ascorbate in PBS (pH 7.0) to reduce the radicals. Among the hybrid compounds synthesized, those that linked the nitroxide radicals via an aminocarbonyl residue at the 5-position of the indolenine moieties on Cy5 and Cy3 exhibited a 1.8- and 5.1-fold increase in fluorescence intensity with the reduction of the nitroxide segment by the addition of Na ascorbate, respectively. In contrast, fluorescence intensity was not enhanced in the other hybrid compounds. Thus, the hybrid compounds which exhibited an increase in fluorescent intensity with radical reduction can be used in the quantitative measurement of reducing species such as Fe2+ and ascorbic acid, and hydroxyl radicals. Because these hybrid compounds have the advantage of fluorescing at longer wavelengths-661 (Cy5) or 568 (Cy3) nm, respectively, they can be used to measure radical-reducing species or radicals either in solution or in vivo. © 2008 Elsevier B.V. All rights reserved.","author":[{"dropping-particle":"","family":"Sato","given":"Shingo","non-dropping-particle":"","parse-names":false,"suffix":""},{"dropping-particle":"","family":"Tsunoda","given":"Minoru","non-dropping-particle":"","parse-names":false,"suffix":""},{"dropping-particle":"","family":"Suzuki","given":"Minoru","non-dropping-particle":"","parse-names":false,"suffix":""},{"dropping-particle":"","family":"Kutsuna","given":"Masahiro","non-dropping-particle":"","parse-names":false,"suffix":""},{"dropping-particle":"","family":"Takido-uchi","given":"Kiyomi","non-dropping-particle":"","parse-names":false,"suffix":""},{"dropping-particle":"","family":"Shindo","given":"Mitsuru","non-dropping-particle":"","parse-names":false,"suffix":""},{"dropping-particle":"","family":"Mizuguchi","given":"Hitoshi","non-dropping-particle":"","parse-names":false,"suffix":""},{"dropping-particle":"","family":"Obara","given":"Heitaro","non-dropping-particle":"","parse-names":false,"suffix":""},{"dropping-particle":"","family":"Ohya","given":"Hiroaki","non-dropping-particle":"","parse-names":false,"suffix":""}],"container-title":"Spectrochimica Acta - Part A: Molecular and Biomolecular Spectroscopy","id":"ITEM-5","issue":"5","issued":{"date-parts":[["2009"]]},"page":"2030-2039","title":"Synthesis and spectral properties of polymethine-cyanine dye-nitroxide radical hybrid compounds for use as fluorescence probes to monitor reducing species and radicals","type":"article-journal","volume":"71"},"uris":["http://www.mendeley.com/documents/?uuid=289606bc-1cbc-4798-a5a8-af3e0c5d89be"]},{"id":"ITEM-6","itemData":{"DOI":"10.1016/j.tet.2009.05.073","ISSN":"00404020","abstract":"A new dual (fluorescent and spin) probe is described, where a N-aryl-2,4,6-triphenylpyridinium fluorophore is attached to a TEMPO fragment through an amide link. The resulting sensor 4 was evaluated as a hydrogen-abstracting agent in acetonitrile and in an aqueous solution of reduced Triton-X 100, being as resistant to hydrolysis as quinoline-TEMPO 1, but more hydrophobic than this probe. © 2009 Elsevier Ltd. All rights reserved.","author":[{"dropping-particle":"","family":"Aliaga","given":"Carolina","non-dropping-particle":"","parse-names":false,"suffix":""},{"dropping-particle":"","family":"Rezende","given":"Marcos Caroli","non-dropping-particle":"","parse-names":false,"suffix":""},{"dropping-particle":"","family":"Tirapegui","given":"Cristian","non-dropping-particle":"","parse-names":false,"suffix":""}],"container-title":"Tetrahedron","id":"ITEM-6","issue":"31","issued":{"date-parts":[["2009"]]},"page":"6025-6028","publisher":"Elsevier Ltd","title":"A new dual probe for hydrogen abstraction","type":"article-journal","volume":"65"},"uris":["http://www.mendeley.com/documents/?uuid=6e013ba8-bdd0-4a7a-9d99-e82c00fa80df"]},{"id":"ITEM-7","itemData":{"DOI":"10.1039/c1an15417f","ISSN":"13645528","abstract":"Generation of too many reactive oxygen species (ROS) in relation to available antioxidants in living cells can cause oxidative stress, which is involved in the development and progression of several serious diseases. 2′,7′-Dichlorodihydrofluorescein (DCFH) and its diacetate form, DCFH-DA, are widely used probes for monitoring general oxidative stress in cells, but DCFH oxidation is not always related to ROS. We report here a new method for quantifying cellular oxidative stress using a 2,2,6,6-tetramethyl- piperidine-1-oxyl (TEMPO)-based probe. We tested and verified the probe both in cell-free solutions and in living cells under conditions of increased or reduced oxidative stress. The probe revealed the oxidative stress status in living cells and may be a useful complement to DCFH fluorescent probes. © 2011 The Royal Society of Chemistry.","author":[{"dropping-particle":"","family":"Liu","given":"Yang","non-dropping-particle":"","parse-names":false,"suffix":""},{"dropping-particle":"","family":"Zhu","given":"Mingjiang","non-dropping-particle":"","parse-names":false,"suffix":""},{"dropping-particle":"","family":"Xu","given":"Jingji","non-dropping-particle":"","parse-names":false,"suffix":""},{"dropping-particle":"","family":"Zhang","given":"Hong","non-dropping-particle":"","parse-names":false,"suffix":""},{"dropping-particle":"","family":"Tian","given":"Mei","non-dropping-particle":"","parse-names":false,"suffix":""}],"container-title":"Analyst","id":"ITEM-7","issue":"20","issued":{"date-parts":[["2011"]]},"page":"4316-4320","title":"Using a TEMPO-based fluorescent probe for monitoring oxidative stress in living cells","type":"article-journal","volume":"136"},"uris":["http://www.mendeley.com/documents/?uuid=5c9d902c-6959-4230-abd4-986ebb9ac209"]},{"id":"ITEM-8","itemData":{"DOI":"10.3109/10715762.2011.595410","ISSN":"10715762","PMID":"21736483","abstract":"Lipid-derived radicals and peroxides are involved in the pathogenesis of oxidative stress diseases and, although lipid peroxide production is a required reaction between a lipid radical and molecular oxygen, a useful lipid radical detection method has remained tentative. Also, the effect of oxygen concentration on lipid peroxide production must be considered because of the hypoxic conditions in cancer and ischemic regions. In this study, the focus was on nitroxide reactivity, which allows spin trapping with carbon-centred radicals via radicalradical reactions and fluorophore quenching through interactions with nitroxide's unpaired electron. Thus, the aim here was to demonstrate a useful detection method for lipid-derived radicals as well as to clarify the effects of oxygen concentration on lipid peroxide production using profluorescent nitroxide. This latter compound reacted with lipid-derived radicals in a manner inversely dependent on oxygen concentration, resulting in fluorescence due to alkoxyamine formation and, conversely, lipid peroxide concentrations decreased with lower oxygen in the reaction system. Furthermore, nitroxide inhibited lipid peroxide production and stopped oxygen consumption in the same solution. These results suggested that the novel application of profluorescent nitroxide could directly and sensitively detect lipid-derived radicals and that radical and peroxide production were dependent on oxygen concentration. © 2011 Informa UK, Ltd.","author":[{"dropping-particle":"","family":"Mito","given":"Fumiya","non-dropping-particle":"","parse-names":false,"suffix":""},{"dropping-particle":"","family":"Kitagawa","given":"Kana","non-dropping-particle":"","parse-names":false,"suffix":""},{"dropping-particle":"","family":"Yamasaki","given":"Toshihide","non-dropping-particle":"","parse-names":false,"suffix":""},{"dropping-particle":"","family":"Shirahama","given":"Chisato","non-dropping-particle":"","parse-names":false,"suffix":""},{"dropping-particle":"","family":"Oishi","given":"Taketoshi","non-dropping-particle":"","parse-names":false,"suffix":""},{"dropping-particle":"","family":"Ito","given":"Yuko","non-dropping-particle":"","parse-names":false,"suffix":""},{"dropping-particle":"","family":"Yamato","given":"Mayumi","non-dropping-particle":"","parse-names":false,"suffix":""},{"dropping-particle":"","family":"Yamada","given":"Ken Ichi","non-dropping-particle":"","parse-names":false,"suffix":""}],"container-title":"Free Radical Research","id":"ITEM-8","issue":"9","issued":{"date-parts":[["2011"]]},"page":"1103-1110","title":"Oxygen concentration dependence of lipid peroxidation and lipid-derived radical generation: Application of profluorescent nitroxide switch","type":"article-journal","volume":"45"},"uris":["http://www.mendeley.com/documents/?uuid=121ab90a-e723-4d24-b090-773d97ff4a76"]},{"id":"ITEM-9","itemData":{"DOI":"10.1021/ol202816m","ISSN":"15237060","PMID":"22176578","abstract":"The synthesis, characteristics, and biological applications of a series of new rhodamine nitroxide fluorescent probes that enable imaging of hydroxyl radicals (•OH) in living cells are described. These probes are highly selective for •OH in aqueous solution, avoiding interference from other reactive oxygen species (ROS), and they facilitate •OH imaging in biologically active samples. The robust nature of these probes (high specificity and selectivity, and facile synthesis) offer distinct advantages over previous methods for •OH detection. © 2011 American Chemical Society.","author":[{"dropping-particle":"","family":"Yapici","given":"Nazmiye B.","non-dropping-particle":"","parse-names":false,"suffix":""},{"dropping-particle":"","family":"Jockusch","given":"Steffen","non-dropping-particle":"","parse-names":false,"suffix":""},{"dropping-particle":"","family":"Moscatelli","given":"Alberto","non-dropping-particle":"","parse-names":false,"suffix":""},{"dropping-particle":"","family":"Mandalapu","given":"Srinivas Rao","non-dropping-particle":"","parse-names":false,"suffix":""},{"dropping-particle":"","family":"Itagaki","given":"Yasuhiro","non-dropping-particle":"","parse-names":false,"suffix":""},{"dropping-particle":"","family":"Bates","given":"Dallas K.","non-dropping-particle":"","parse-names":false,"suffix":""},{"dropping-particle":"","family":"Wiseman","given":"Sherri","non-dropping-particle":"","parse-names":false,"suffix":""},{"dropping-particle":"","family":"Gibson","given":"K. Michael","non-dropping-particle":"","parse-names":false,"suffix":""},{"dropping-particle":"","family":"Turro","given":"Nicholas J.","non-dropping-particle":"","parse-names":false,"suffix":""},{"dropping-particle":"","family":"Bi","given":"Lanrong","non-dropping-particle":"","parse-names":false,"suffix":""}],"container-title":"Organic Letters","id":"ITEM-9","issue":"1","issued":{"date-parts":[["2012"]]},"page":"50-53","title":"New rhodamine nitroxide based fluorescent probes for intracellular hydroxyl radical identification in living cells","type":"article-journal","volume":"14"},"uris":["http://www.mendeley.com/documents/?uuid=e7045e30-01c0-41ef-b732-f683c6c58480"]},{"id":"ITEM-10","itemData":{"DOI":"10.1039/c3cp51723c","ISSN":"14639076","abstract":"A prefluorescent radical probe in which a 2,2,6,6-tetramethylpiperidine-N- oxyl (TEMPO) unit is sensitized with visible light via energy transfer from a tethered coumarin dye has been synthesized. The excited TEMPO moiety undergoes hydrogen abstraction from a polymer with concomitant functionalization of the polymeric matrix; this writing process can be reversed thermally. The fluorescent probes can be bleached under high intensity illumination, making these new materials suitable for dual-tone lithography with potential applications in sub-diffraction lithographic imaging. © the Owner Societies 2013.","author":[{"dropping-particle":"","family":"Impellizzeri","given":"Stefania","non-dropping-particle":"","parse-names":false,"suffix":""},{"dropping-particle":"","family":"Stamplecoskie","given":"Kevin G.","non-dropping-particle":"","parse-names":false,"suffix":""},{"dropping-particle":"","family":"Scaiano","given":"Juan C.","non-dropping-particle":"","parse-names":false,"suffix":""}],"container-title":"Physical Chemistry Chemical Physics","id":"ITEM-10","issue":"36","issued":{"date-parts":[["2013"]]},"page":"14873-14878","title":"Sensitized excited free-radical processes as read-write tools: Impact on non-linear lithographic processes","type":"article-journal","volume":"15"},"uris":["http://www.mendeley.com/documents/?uuid=017f0e8a-dec8-4d02-9ea6-c0c781e5acd9"]},{"id":"ITEM-11","itemData":{"DOI":"10.1007/s10895-013-1329-0","ISBN":"1089501313290","ISSN":"10530509","PMID":"24287971","abstract":"A rhodamine nitroxide probe was designed to detect the hydroxyl radical (·OH), which presented high selectivity for·OH over other reactive oxygen species (ROS) and linear fluorescence response to·OH produced by Fenton reaction. The product was detected by HPLC-MS, indicating that the main product of the reaction was O-methylhydroxylamine and the product peak areas measured by HPLC-UV/vis and HPLC-FLD both enhanced proportionally with the increase of·OH concentration. The application of the probe in biological system was explored to trace the production of·OH in cells under oxidative stress condition induced by rotenone which can inhibit the mitochondria respiratory chain complex I and we found that appropriate rotenone may induce the normal human liver cells (L02) and human hepatoma cells (HepG2) to produce·OH at different degrees. © 2013 Springer Science+Business Media New York.","author":[{"dropping-particle":"","family":"Cao","given":"Linying","non-dropping-particle":"","parse-names":false,"suffix":""},{"dropping-particle":"","family":"Wu","given":"Qingfeng","non-dropping-particle":"","parse-names":false,"suffix":""},{"dropping-particle":"","family":"Li","given":"Qiang","non-dropping-particle":"","parse-names":false,"suffix":""},{"dropping-particle":"","family":"Shao","given":"Shijun","non-dropping-particle":"","parse-names":false,"suffix":""},{"dropping-particle":"","family":"Guo","given":"Yong","non-dropping-particle":"","parse-names":false,"suffix":""}],"container-title":"Journal of Fluorescence","id":"ITEM-11","issue":"2","issued":{"date-parts":[["2014"]]},"page":"313-318","title":"Fluorescence and HPLC detection of hydroxyl radical by a rhodamine-nitroxide probe and its application in cell imaging","type":"article-journal","volume":"24"},"uris":["http://www.mendeley.com/documents/?uuid=27c413e5-ce33-494f-b2eb-f067707e0fb1"]},{"id":"ITEM-12","itemData":{"DOI":"10.1016/j.cplett.2013.12.059","ISSN":"00092614","abstract":"The mechanism of fluorophore quenching in QT, a pre-fluorescent quinoline-TEMPO probe, is illustrated with the aid of a molecular-orbital analysis, offering a pictorial view of the process that takes place in the excited molecule, and which is responsible for the observed fluorescence quenching. © 2014 Elsevier B.V. All rights reserved.","author":[{"dropping-particle":"","family":"Aliaga","given":"Carolina","non-dropping-particle":"","parse-names":false,"suffix":""},{"dropping-particle":"","family":"Fuentealba","given":"Patricio","non-dropping-particle":"","parse-names":false,"suffix":""},{"dropping-particle":"","family":"Rezende","given":"Marcos Caroli","non-dropping-particle":"","parse-names":false,"suffix":""},{"dropping-particle":"","family":"Cárdenas","given":"Carlos","non-dropping-particle":"","parse-names":false,"suffix":""}],"container-title":"Chemical Physics Letters","id":"ITEM-12","issued":{"date-parts":[["2014"]]},"page":"89-92","publisher":"Elsevier B.V.","title":"Mechanism of fluorophore quenching in a pre-fluorescent nitroxide probe: A theoretical illustration","type":"article-journal","volume":"593"},"uris":["http://www.mendeley.com/documents/?uuid=cedbd1b9-3f2e-41e8-9079-b5074f77a69f"]},{"id":"ITEM-13","itemData":{"DOI":"10.1002/bio.2472","ISSN":"15227243","PMID":"23297173","abstract":"A novel three-dimensional hydrodynamic focusing microfluidic device integrated with high-throughput cell sampling and detection of intracellular contents is presented. It has a pivotal role in maintaining the reducing environment in cells. Intracellular reducing species such as vitamin C and glutathione in normal and tumor cells were labeled by a newly synthesized 2,2,6,6-tetramethyl-piperidine-1-oxyl-based fluorescent probe. Hepatocytes are adherent cells, which are prone to attaching to the channel surface. To avoid the attachment of cells on the channel surface, a single channel microchip with three sheath-flow channels located on both sides of and below the sampling channel was developed. Hydrostatic pressure generated by emptying the sample waste reservoir was used as driving force of fluid on the microchip. Owing to the difference between the liquid levels of the reservoirs, the labeled cells were three-dimensional hydrodynamically focused and transported from the sample reservoir to the sample waste reservoir. Hydrostatic pressure takes advantage of its ease of generation on a microfluidic chip without any external pressure pump, which drives three sheath-flow streams to constrain a sample flow stream into a narrow stream to avoid blockage of the sampling channel by adhered cells. The intracellular reducing levels of HepG2 cells and L02 cells were detected by home-built laser-induced fluorescence detector. The analysis throughput achieved in this microfluidic system was about 59-68 cells/min. Copyright © 2013 John Wiley &amp; Sons, Ltd.","author":[{"dropping-particle":"","family":"Xu","given":"Chunxiu","non-dropping-particle":"","parse-names":false,"suffix":""},{"dropping-particle":"","family":"Cai","given":"Longfei","non-dropping-particle":"","parse-names":false,"suffix":""}],"container-title":"Luminescence","id":"ITEM-13","issue":"1","issued":{"date-parts":[["2014"]]},"page":"36-41","title":"Analysis of intracellular reducing levels in human hepatocytes on three-dimensional focusing microchip","type":"article-journal","volume":"29"},"uris":["http://www.mendeley.com/documents/?uuid=d0303fb6-933d-44c6-82af-183620f0a728"]},{"id":"ITEM-14","itemData":{"DOI":"10.1007/s10895-015-1579-0","ISSN":"10530509","abstract":"The photophysical behavior of three pyridinium-derived fluorophores, the N-aryl-2,4,6-triphenylpyridinium, the N-aryl-5,6-dihydro-2,4-diphenylbenzo[h]quinolinium and the N-aryl-5,6,8,9-tetrahydro-7-phenyldibenzo[c,h]acridinium perchlorates, was investigated. Comparison of their fluorescence quantum yields led to the preparation of a novel, more sensitive pyridinium-based, TEMPO-attached prefluorescent probe for H-abstraction processes, the N-{4-[4-(N-oxyl-2,2,6,6-tetramethylpiperidinyl)carbonylamino]phenyl}-5,6,8,9-tetrahydro-7-phenyldibenzo[c,h]-acridinium perchlorate.","author":[{"dropping-particle":"","family":"Aliaga","given":"Carolina","non-dropping-particle":"","parse-names":false,"suffix":""},{"dropping-particle":"","family":"Celis","given":"Freddy","non-dropping-particle":"","parse-names":false,"suffix":""},{"dropping-particle":"","family":"Lühr","given":"Susan","non-dropping-particle":"","parse-names":false,"suffix":""},{"dropping-particle":"","family":"Oñate","given":"Rubén","non-dropping-particle":"","parse-names":false,"suffix":""}],"container-title":"Journal of Fluorescence","id":"ITEM-14","issue":"4","issued":{"date-parts":[["2015"]]},"page":"979-983","title":"TEMPO-Attached Pre-fluorescent Probes Based on Pyridinium Fluorophores","type":"article-journal","volume":"25"},"uris":["http://www.mendeley.com/documents/?uuid=604394ab-6c5f-4c03-b2d4-9eae63ccd978"]},{"id":"ITEM-15","itemData":{"DOI":"10.1039/c6ra18500b","ISSN":"20462069","abstract":"Here we report the first example of an alkoxyamine derived from an azaphenalene nitroxide, which when exposed to UV-light, readily undergoes homolysis to efficiently and cleanly re-form a nitroxide. This process selectively cleaves the C-O bond of the alkoxyamine and occurs orders of magnitude more rapidly than any other alkoxyamine homolysis previously described in the literature. We demonstrate the use of light to generate a persistent radical effect (PRE) and apply this to undertake radical insertion, radical exchange and proof of concept polymerization reactions.","author":[{"dropping-particle":"","family":"Bottle","given":"Steven E.","non-dropping-particle":"","parse-names":false,"suffix":""},{"dropping-particle":"","family":"Clement","given":"Jean Louis","non-dropping-particle":"","parse-names":false,"suffix":""},{"dropping-particle":"","family":"Fleige","given":"Mirco","non-dropping-particle":"","parse-names":false,"suffix":""},{"dropping-particle":"","family":"Simpson","given":"Emily M.","non-dropping-particle":"","parse-names":false,"suffix":""},{"dropping-particle":"","family":"Guillaneuf","given":"Yohann","non-dropping-particle":"","parse-names":false,"suffix":""},{"dropping-particle":"","family":"Fairfull-Smith","given":"Kathryn E.","non-dropping-particle":"","parse-names":false,"suffix":""},{"dropping-particle":"","family":"Gigmes","given":"Didier","non-dropping-particle":"","parse-names":false,"suffix":""},{"dropping-particle":"","family":"Blinco","given":"James P.","non-dropping-particle":"","parse-names":false,"suffix":""}],"container-title":"RSC Advances","id":"ITEM-15","issue":"83","issued":{"date-parts":[["2016"]]},"page":"80328-80333","publisher":"Royal Society of Chemistry","title":"Light-active azaphenalene alkoxyamines: Fast and efficient mediators of a photo-induced persistent radical effect","type":"article-journal","volume":"6"},"uris":["http://www.mendeley.com/documents/?uuid=44c6fee8-afbc-4890-951f-27cff540cea9"]},{"id":"ITEM-16","itemData":{"DOI":"10.1002/anie.201506353","ISSN":"15213773","PMID":"26630348","abstract":"The redox chemistry of the cell is key to its function and health, and the development of chemical tools to study redox biology is important. While fluxes in oxidative state are essential for healthy cell function, a chronically elevated oxidative capacity is linked to disease. It is therefore essential that probes of biological redox states distinguish between these two conditions by the reversible sensing of changes over time. In this review, we discuss the current progress towards such probes, and identify key directions for future research in this nascent field of vital biological interest. A good image: Chemical tools to study redox biology are crucial in understanding physiological and pathological processes. It is particularly important to be able to reversibly sense changes in redox state over time. The current progress towards such probes is described in this review, as well as identification of key directions for future research in this nascent field of vital biological interest.","author":[{"dropping-particle":"","family":"Kaur","given":"Amandeep","non-dropping-particle":"","parse-names":false,"suffix":""},{"dropping-particle":"","family":"Kolanowski","given":"Jacek L.","non-dropping-particle":"","parse-names":false,"suffix":""},{"dropping-particle":"","family":"New","given":"Elizabeth J.","non-dropping-particle":"","parse-names":false,"suffix":""}],"container-title":"Angewandte Chemie - International Edition","id":"ITEM-16","issue":"5","issued":{"date-parts":[["2016"]]},"page":"1602-1613","title":"Reversible Fluorescent Probes for Biological Redox States","type":"article-journal","volume":"55"},"uris":["http://www.mendeley.com/documents/?uuid=4ce1d322-94fe-4ccf-94ed-4f6f8f04753e"]}],"mendeley":{"formattedCitation":"&lt;sup&gt;[19,29,41–46,33–40]&lt;/sup&gt;","plainTextFormattedCitation":"[19,29,41–46,33–40]","previouslyFormattedCitation":"&lt;sup&gt;[19,29,41–46,33–40]&lt;/sup&gt;"},"properties":{"noteIndex":0},"schema":"https://github.com/citation-style-language/schema/raw/master/csl-citation.json"}</w:instrText>
      </w:r>
      <w:r w:rsidR="0015560E" w:rsidRPr="00BA5773">
        <w:fldChar w:fldCharType="separate"/>
      </w:r>
      <w:r w:rsidR="00187D63" w:rsidRPr="00BA5773">
        <w:rPr>
          <w:noProof/>
          <w:vertAlign w:val="superscript"/>
        </w:rPr>
        <w:t>[19,29,41–46,33–40]</w:t>
      </w:r>
      <w:r w:rsidR="0015560E" w:rsidRPr="00BA5773">
        <w:fldChar w:fldCharType="end"/>
      </w:r>
      <w:r w:rsidR="00147261" w:rsidRPr="00BA5773">
        <w:t xml:space="preserve"> In these systems, intramolecular quenching occurs through electron exchange between the two unit</w:t>
      </w:r>
      <w:r w:rsidR="00647E9D" w:rsidRPr="00BA5773">
        <w:t>s</w:t>
      </w:r>
      <w:r w:rsidR="00147261" w:rsidRPr="00BA5773">
        <w:t xml:space="preserve">, which causes </w:t>
      </w:r>
      <w:r w:rsidR="0065522C" w:rsidRPr="00BA5773">
        <w:t xml:space="preserve">non-radiative </w:t>
      </w:r>
      <w:r w:rsidR="00147261" w:rsidRPr="00BA5773">
        <w:t>relaxation of the local singlet state to the ground state of the fluorophore.</w:t>
      </w:r>
      <w:r w:rsidR="004B4524" w:rsidRPr="00BA5773">
        <w:fldChar w:fldCharType="begin" w:fldLock="1"/>
      </w:r>
      <w:r w:rsidR="00E92323">
        <w:instrText xml:space="preserve">ADDIN CSL_CITATION {"citationItems":[{"id":"ITEM-1","itemData":{"DOI":"10.1021/ja00214a041","ISSN":"15205126","abstract":"The absorption and fluorescence emission spectra and quantum yields of a series of paramagnetic nitroxide-naphthalene adducts are compared with those of diamagnetic analogues. While the absorption and emission energies of these compounds are unaffected by the presence of the nitroxyl radical substituent(s), the fluorescence quantum yields of the paramagnetic derivatives are 2.9- to 60-fold lower than the corresponding diamagnetic derivatives. Additionally, chemical reduction of the nitroxide moiety to a diamagnetic hydroxylamine produces a fluorescence yield increase that parallels nitroxyl radical loss. On the basis of this chemically mediated optical switching, compounds of this class may prove to be broadly applicable as sensitive optical probes for radicals and redox-active species in biological and chemical systems. © 1988, American Chemical Society. All rights reserved.","author":[{"dropping-particle":"V.","family":"Blough","given":"Neil","non-dropping-particle":"","parse-names":false,"suffix":""},{"dropping-particle":"","family":"Simpson","given":"Daniel J.","non-dropping-particle":"","parse-names":false,"suffix":""}],"container-title":"Journal of the American Chemical Society","id":"ITEM-1","issue":"6","issued":{"date-parts":[["1988"]]},"page":"1915-1917","title":"Chemically Mediated Fluorescence Yield Switching in Nitroxide-Fluorophore Adducts: Optical Sensors of Radical/Redox Reactions","type":"article-journal","volume":"110"},"uris":["http://www.mendeley.com/documents/?uuid=550fbc16-7c53-4dd1-9e80-07688370fff0"]},{"id":"ITEM-2","itemData":{"DOI":"10.1021/ac00220a005","ISSN":"15206882","abstract":"A simple method to detect subnanomolar to micromolar levels of photochemically generated carbon-centered radicals in aqueous solutions has been developed and optimized. This method Is based on the efficient trapping of radicals by a water-soluble amino nitroxide, followed by derivatization of the trapped products with fluorescamine to produce highly fluorescent adducts. These adducts can be separated by reversed-phase high-performance liquid chromatography and detected fluorometrically. The fluorescent derivatives are stable over a period of days. The detection limit, primarily determined by reagent interferences, ranged from 0.3 to 1 nM per analyte for a 500-µL Injection at a slgnal-to-noise ratio of two. The precision of the method for the determination of adduct concentrations in the 1–10 nM range varied from 2.4 to 8.4% relative standard deviation (n = 6). A direct comparison with electron paramagnetic resonance spectroscopy/spin trapping Illustrates the advantages of our technique. One important feature of the method Is that it permits the simultaneous detection of an array of radicals, as demonstrated through the study of the photochemical production of radicals in a variety of natural water samples and in Suwannee River fulvic acid. © 1990, American Chemical Society. All rights reserved.","author":[{"dropping-particle":"","family":"Kieber","given":"David J.","non-dropping-particle":"","parse-names":false,"suffix":""},{"dropping-particle":"V.","family":"Blough","given":"Neil","non-dropping-particle":"","parse-names":false,"suffix":""}],"container-title":"Analytical Chemistry","id":"ITEM-2","issue":"21","issued":{"date-parts":[["1990"]]},"page":"2275-2283","title":"Determination of Carbon-Centered Radicals in Aqueous Solution by Liquid Chromatography with Fluorescence Detection","type":"article-journal","volume":"62"},"uris":["http://www.mendeley.com/documents/?uuid=32b9896a-a93d-41dc-9bf2-86d858215ccf"]},{"id":"ITEM-3","itemData":{"DOI":"10.1016/j.cplett.2013.12.059","ISSN":"00092614","abstract":"The mechanism of fluorophore quenching in QT, a pre-fluorescent quinoline-TEMPO probe, is illustrated with the aid of a molecular-orbital analysis, offering a pictorial view of the process that takes place in the excited molecule, and which is responsible for the observed fluorescence quenching. © 2014 Elsevier B.V. All rights reserved.","author":[{"dropping-particle":"","family":"Aliaga","given":"Carolina","non-dropping-particle":"","parse-names":false,"suffix":""},{"dropping-particle":"","family":"Fuentealba","given":"Patricio","non-dropping-particle":"","parse-names":false,"suffix":""},{"dropping-particle":"","family":"Rezende","given":"Marcos Caroli","non-dropping-particle":"","parse-names":false,"suffix":""},{"dropping-particle":"","family":"Cárdenas","given":"Carlos","non-dropping-particle":"","parse-names":false,"suffix":""}],"container-title":"Chemical Physics Letters","id":"ITEM-3","issued":{"date-parts":[["2014"]]},"page":"89-92","publisher":"Elsevier B.V.","title":"Mechanism of fluorophore quenching in a pre-fluorescent nitroxide probe: A theoretical illustration","type":"article-journal","volume":"593"},"uris":["http://www.mendeley.com/documents/?uuid=cedbd1b9-3f2e-41e8-9079-b5074f77a69f"]},{"id":"ITEM-4","itemData":{"DOI":"10.1021/jp980977e","ISSN":"15206106","abstract":"Steady-state and time-resolved absorption and fluorescence measurements were used to probe the mechanism(s) of excited singlet state quenching by stable nitroxyl radicals in a series of fluorescamine-derivatized nitroxides. Rate constants for intramolecular quenching (kq) acquired from fluorescence lifetime measurements were very high, ranging from </w:instrText>
      </w:r>
      <w:r w:rsidR="00E92323">
        <w:rPr>
          <w:rFonts w:ascii="Cambria Math" w:hAnsi="Cambria Math" w:cs="Cambria Math"/>
        </w:rPr>
        <w:instrText>∼</w:instrText>
      </w:r>
      <w:r w:rsidR="00E92323">
        <w:instrText xml:space="preserve">0.3 </w:instrText>
      </w:r>
      <w:r w:rsidR="00E92323">
        <w:rPr>
          <w:rFonts w:cs="Times New Roman"/>
        </w:rPr>
        <w:instrText>×</w:instrText>
      </w:r>
      <w:r w:rsidR="00E92323">
        <w:instrText xml:space="preserve"> 1010 s-1 to </w:instrText>
      </w:r>
      <w:r w:rsidR="00E92323">
        <w:rPr>
          <w:rFonts w:cs="Times New Roman"/>
        </w:rPr>
        <w:instrText>≥</w:instrText>
      </w:r>
      <w:r w:rsidR="00E92323">
        <w:instrText xml:space="preserve">5 </w:instrText>
      </w:r>
      <w:r w:rsidR="00E92323">
        <w:rPr>
          <w:rFonts w:cs="Times New Roman"/>
        </w:rPr>
        <w:instrText>×</w:instrText>
      </w:r>
      <w:r w:rsidR="00E92323">
        <w:instrText xml:space="preserve"> 1010 s-1, and showed little dependence on solvent polarity. The kq's did not track the values of the Dexter and F</w:instrText>
      </w:r>
      <w:r w:rsidR="00E92323">
        <w:rPr>
          <w:rFonts w:cs="Times New Roman"/>
        </w:rPr>
        <w:instrText>ö</w:instrText>
      </w:r>
      <w:r w:rsidR="00E92323">
        <w:instrText xml:space="preserve">rster spectral overlap integrals, thus indicating that energy transfer, through either mechanism, cannot account for the quenching. Quenching by electron transfer also appears unlikely, owing to the dependence of kq on solvent polarity and the complete lack of radical ion generation in highly polar solvents. Time-resolved absorption measurements revealed the presence of a very weak transient centered at </w:instrText>
      </w:r>
      <w:r w:rsidR="00E92323">
        <w:rPr>
          <w:rFonts w:ascii="Cambria Math" w:hAnsi="Cambria Math" w:cs="Cambria Math"/>
        </w:rPr>
        <w:instrText>∼</w:instrText>
      </w:r>
      <w:r w:rsidR="00E92323">
        <w:instrText>470 nm in the diamagnetic reference compounds that was not observed in the paramagnetic nitroxides; this transient was tentatively assigned to the excited triplet state of the fluorescamine moiety. The rapid singlet state quenching in this series of compounds thus appears to arise from enhanced internal conversion.","author":[{"dropping-particle":"","family":"Herbelin","given":"Sarah E.","non-dropping-particle":"","parse-names":false,"suffix":""},{"dropping-particle":"V.","family":"Blough","given":"Neil","non-dropping-particle":"","parse-names":false,"suffix":""}],"container-title":"Journal of Physical Chemistry B","id":"ITEM-4","issue":"42","issued":{"date-parts":[["1998"]]},"page":"8170-8176","title":"Intramolecular quenching of excited singlet states in a series of fluorescamine-derivatized nitroxides","type":"article-journal","volume":"102"},"uris":["http://www.mendeley.com/documents/?uuid=c2f52db4-f6d1-44bb-9aab-1b290e438b5c"]}],"mendeley":{"formattedCitation":"&lt;sup&gt;[19,20,42,47]&lt;/sup&gt;","plainTextFormattedCitation":"[19,20,42,47]","previouslyFormattedCitation":"&lt;sup&gt;[19,20,42,47]&lt;/sup&gt;"},"properties":{"noteIndex":0},"schema":"https://github.com/citation-style-language/schema/raw/master/csl-citation.json"}</w:instrText>
      </w:r>
      <w:r w:rsidR="004B4524" w:rsidRPr="00BA5773">
        <w:fldChar w:fldCharType="separate"/>
      </w:r>
      <w:r w:rsidR="00187D63" w:rsidRPr="00BA5773">
        <w:rPr>
          <w:noProof/>
          <w:vertAlign w:val="superscript"/>
        </w:rPr>
        <w:t>[19,20,42,47]</w:t>
      </w:r>
      <w:r w:rsidR="004B4524" w:rsidRPr="00BA5773">
        <w:fldChar w:fldCharType="end"/>
      </w:r>
      <w:r w:rsidR="00147261" w:rsidRPr="00BA5773">
        <w:t xml:space="preserve"> Nevertheless, </w:t>
      </w:r>
      <w:r w:rsidR="00E44929" w:rsidRPr="00BA5773">
        <w:t xml:space="preserve">hydrogen or radical trapping </w:t>
      </w:r>
      <w:r w:rsidR="00E87108" w:rsidRPr="00BA5773">
        <w:t>by</w:t>
      </w:r>
      <w:r w:rsidR="00E44929" w:rsidRPr="00BA5773">
        <w:t xml:space="preserve"> </w:t>
      </w:r>
      <w:r w:rsidR="00147261" w:rsidRPr="00BA5773">
        <w:t xml:space="preserve">TEMPO leads to the formation of a diamagnetic product, thereby disabling </w:t>
      </w:r>
      <w:r w:rsidR="00E44929" w:rsidRPr="00BA5773">
        <w:t xml:space="preserve">the quenching pathway and </w:t>
      </w:r>
      <w:r w:rsidR="00EC2DBB" w:rsidRPr="00BA5773">
        <w:t>restoring fluorescence</w:t>
      </w:r>
      <w:r w:rsidR="00E44929" w:rsidRPr="00BA5773">
        <w:t>.</w:t>
      </w:r>
      <w:r w:rsidR="00C96E04" w:rsidRPr="00BA5773">
        <w:t xml:space="preserve"> Based upon these consideration</w:t>
      </w:r>
      <w:r w:rsidR="00E33E5D" w:rsidRPr="00BA5773">
        <w:t xml:space="preserve">s, </w:t>
      </w:r>
      <w:r w:rsidR="00C96E04" w:rsidRPr="00BA5773">
        <w:t xml:space="preserve">activation of the fluorescence of </w:t>
      </w:r>
      <w:r w:rsidR="00587E52" w:rsidRPr="00BA5773">
        <w:rPr>
          <w:b/>
          <w:bCs/>
        </w:rPr>
        <w:t>Q</w:t>
      </w:r>
      <w:r w:rsidR="00C96E04" w:rsidRPr="00BA5773">
        <w:t xml:space="preserve"> in compound </w:t>
      </w:r>
      <w:r w:rsidR="00C96E04" w:rsidRPr="00BA5773">
        <w:rPr>
          <w:b/>
          <w:bCs/>
        </w:rPr>
        <w:t>1</w:t>
      </w:r>
      <w:r w:rsidR="00C96E04" w:rsidRPr="00BA5773">
        <w:t xml:space="preserve"> can be used to report on and quantify hydrogen abstraction or </w:t>
      </w:r>
      <w:r w:rsidR="001A044E" w:rsidRPr="00BA5773">
        <w:t xml:space="preserve">radical </w:t>
      </w:r>
      <w:r w:rsidR="00C96E04" w:rsidRPr="00BA5773">
        <w:t xml:space="preserve">reaction </w:t>
      </w:r>
      <w:r w:rsidR="006B64B5" w:rsidRPr="00BA5773">
        <w:t>by</w:t>
      </w:r>
      <w:r w:rsidR="00C96E04" w:rsidRPr="00BA5773">
        <w:t xml:space="preserve"> the nitroxide counterpart</w:t>
      </w:r>
      <w:r w:rsidR="00E33E5D" w:rsidRPr="00BA5773">
        <w:t xml:space="preserve"> in real time</w:t>
      </w:r>
      <w:r w:rsidR="00C96E04" w:rsidRPr="00BA5773">
        <w:t xml:space="preserve">. </w:t>
      </w:r>
      <w:r w:rsidR="008715D9" w:rsidRPr="00BA5773">
        <w:t xml:space="preserve">In our set up, compound </w:t>
      </w:r>
      <w:r w:rsidR="008715D9" w:rsidRPr="00BA5773">
        <w:rPr>
          <w:b/>
          <w:bCs/>
        </w:rPr>
        <w:t>1</w:t>
      </w:r>
      <w:r w:rsidR="008715D9" w:rsidRPr="00BA5773">
        <w:t xml:space="preserve"> is irradiated at 365 nm, which delivers 330 kJ/mol of energy and is thus theoretically sufficient to sensitize TEMPO upon energy transfer from the quinoline antenna.</w:t>
      </w:r>
      <w:r w:rsidR="005F2326" w:rsidRPr="00BA5773">
        <w:fldChar w:fldCharType="begin" w:fldLock="1"/>
      </w:r>
      <w:r w:rsidR="00B06452" w:rsidRPr="00BA5773">
        <w:instrText>ADDIN CSL_CITATION {"citationItems":[{"id":"ITEM-1","itemData":{"DOI":"10.1039/b705671k","ISSN":"14749092","abstract":"The photolysis of an alkoxyamine triad comprised of the 1-phenylethyl moiety, 2,2,6,6-tetramethylpiperidinyl-1-oxy (TEMPO) and 2-methyl-3-hydroxy quinoline leads to energy transfer from the quinoline moiety (antenna) and cleavage of the C-O alkoxyamine bond, suggesting its possible applications in low temperature living free radical polymerization. © The Royal Society of Chemistry and Owner Societies.","author":[{"dropping-particle":"","family":"Goto","given":"Atsushi","non-dropping-particle":"","parse-names":false,"suffix":""},{"dropping-particle":"","family":"Scaiano","given":"J. C.","non-dropping-particle":"","parse-names":false,"suffix":""},{"dropping-particle":"","family":"Maretti","given":"Luca","non-dropping-particle":"","parse-names":false,"suffix":""}],"container-title":"Photochemical and Photobiological Sciences","id":"ITEM-1","issue":"8","issued":{"date-parts":[["2007"]]},"page":"833-835","title":"Photolysis of an alkoxyamine using intramolecular energy transfer from a quinoline antenna - Towards photo-induced living radical polymerization","type":"article-journal","volume":"6"},"uris":["http://www.mendeley.com/documents/?uuid=899a57f9-63f2-45fa-9a3d-cfb4d9670a12"]}],"mendeley":{"formattedCitation":"&lt;sup&gt;[31]&lt;/sup&gt;","plainTextFormattedCitation":"[31]","previouslyFormattedCitation":"&lt;sup&gt;[31]&lt;/sup&gt;"},"properties":{"noteIndex":0},"schema":"https://github.com/citation-style-language/schema/raw/master/csl-citation.json"}</w:instrText>
      </w:r>
      <w:r w:rsidR="005F2326" w:rsidRPr="00BA5773">
        <w:fldChar w:fldCharType="separate"/>
      </w:r>
      <w:r w:rsidR="0074268C" w:rsidRPr="00BA5773">
        <w:rPr>
          <w:noProof/>
          <w:vertAlign w:val="superscript"/>
        </w:rPr>
        <w:t>[31]</w:t>
      </w:r>
      <w:r w:rsidR="005F2326" w:rsidRPr="00BA5773">
        <w:fldChar w:fldCharType="end"/>
      </w:r>
      <w:r w:rsidR="00ED7635" w:rsidRPr="00BA5773">
        <w:t xml:space="preserve"> The mechanism for energy transfer is plausible given the observation that </w:t>
      </w:r>
      <w:r w:rsidR="00ED7635" w:rsidRPr="00BA5773">
        <w:rPr>
          <w:b/>
          <w:bCs/>
        </w:rPr>
        <w:t>1</w:t>
      </w:r>
      <w:r w:rsidR="00ED7635" w:rsidRPr="00BA5773">
        <w:t xml:space="preserve"> is non</w:t>
      </w:r>
      <w:r w:rsidR="0065522C" w:rsidRPr="00BA5773">
        <w:t>-</w:t>
      </w:r>
      <w:r w:rsidR="00ED7635" w:rsidRPr="00BA5773">
        <w:t xml:space="preserve">fluorescent due to intramolecular quenching, suggesting that chromophore and nitroxide are </w:t>
      </w:r>
      <w:r w:rsidR="004D5627" w:rsidRPr="00BA5773">
        <w:t>separated by</w:t>
      </w:r>
      <w:r w:rsidR="00ED7635" w:rsidRPr="00BA5773">
        <w:t xml:space="preserve"> a distance </w:t>
      </w:r>
      <w:r w:rsidR="004D5627" w:rsidRPr="00BA5773">
        <w:t xml:space="preserve">that is </w:t>
      </w:r>
      <w:r w:rsidR="00ED7635" w:rsidRPr="00BA5773">
        <w:t>appropriate for energy transfer.</w:t>
      </w:r>
      <w:r w:rsidR="001D091D" w:rsidRPr="00BA5773">
        <w:fldChar w:fldCharType="begin" w:fldLock="1"/>
      </w:r>
      <w:r w:rsidR="00E92323">
        <w:instrText>ADDIN CSL_CITATION {"citationItems":[{"id":"ITEM-1","itemData":{"DOI":"10.1021/ja00176a038","ISSN":"15205126","abstract":"Absorbance and steady-state and time-resolved fluorescence measurements were employed to examine the mechanism(s) of excited singlet state quenching by nitroxides in a series of nitroxide-fluorophore adducts. This work establishes the following: (1) the absorption and emission energies of the fluorophores are unaffected by the presence of the nitroxide substituent(s), and the residual emission that is observed from the adducts arises from the locally excited singlet of the fluorophore, not from charge recombination; (2) rate constants for intramolecular quenching by the nitroxides (kq) are high (108-1010 s-1) and decrease significantly with increasing nitroxide to fluorophore distance-however, relatively high rates of quenching (&gt;108 s-1) are observed over distances as great as 12 Å (3) Forster energy transfer does not contribute significantly to the quenching due to the low values for the spectral overlap integrals; (4) the kq's do not increase proportionally to the solvent-dependent increases in the Dexter overlap integral, indicating that energy transfer by the Dexter mechanism is not responsible for the quenching; (5) the values of kq show no obvious correlation with the calculated free energies for photoinduced electron transfer, suggesting that this quenching pathway is also unimportant; (6) for hematoporphyrin-nitroxide adducts, which contain a fluorophore whose singlet energy is below that of the first excited state energy of the nitroxide (thusprecluding energy transfer), significant rates of quenching are still observed; (7) for compounds with similar nitroxide-fluorophore distance, an approximately linear correlation is observed between the kq's of the paramagnetic compounds and the nonradiative rate constants of the diamagnetic reference compounds, suggesting that the nitroxide moiety catalyses a preexisting nonradiative pathway in the fluorophore. These results indicate that the quenching arises through electron exchange which causes relaxation of the (local) singlet state to the triplet and/or ground state of the fluorophore. © 1990, American Chemical Society. All rights reserved.","author":[{"dropping-particle":"","family":"Green","given":"S. A.","non-dropping-particle":"","parse-names":false,"suffix":""},{"dropping-particle":"","family":"Simpson","given":"D. J.","non-dropping-particle":"","parse-names":false,"suffix":""},{"dropping-particle":"","family":"Zhou","given":"G.","non-dropping-particle":"","parse-names":false,"suffix":""},{"dropping-particle":"","family":"Ho","given":"P. S.","non-dropping-particle":"","parse-names":false,"suffix":""},{"dropping-particle":"V.","family":"Blough","given":"N.","non-dropping-particle":"","parse-names":false,"suffix":""}],"container-title":"Journal of the American Chemical Society","id":"ITEM-1","issue":"20","issued":{"date-parts":[["1990"]]},"page":"7337-7346","title":"Intramolecular Quenching of Excited Singlet States by StableNitroxyl Radicals","type":"article-journal","volume":"112"},"uris":["http://www.mendeley.com/documents/?uuid=8f71c724-546c-459e-98af-0cd2921cdab8"]}],"mendeley":{"formattedCitation":"&lt;sup&gt;[33]&lt;/sup&gt;","plainTextFormattedCitation":"[33]","previouslyFormattedCitation":"&lt;sup&gt;[33]&lt;/sup&gt;"},"properties":{"noteIndex":0},"schema":"https://github.com/citation-style-language/schema/raw/master/csl-citation.json"}</w:instrText>
      </w:r>
      <w:r w:rsidR="001D091D" w:rsidRPr="00BA5773">
        <w:fldChar w:fldCharType="separate"/>
      </w:r>
      <w:r w:rsidR="00187D63" w:rsidRPr="00BA5773">
        <w:rPr>
          <w:noProof/>
          <w:vertAlign w:val="superscript"/>
        </w:rPr>
        <w:t>[33]</w:t>
      </w:r>
      <w:r w:rsidR="001D091D" w:rsidRPr="00BA5773">
        <w:fldChar w:fldCharType="end"/>
      </w:r>
      <w:r w:rsidR="00ED7635" w:rsidRPr="00BA5773">
        <w:t xml:space="preserve"> </w:t>
      </w:r>
      <w:bookmarkStart w:id="4" w:name="_Hlk63430619"/>
      <w:r w:rsidR="00FE5AFB" w:rsidRPr="00BA5773">
        <w:t>Relative</w:t>
      </w:r>
      <w:r w:rsidR="00414D87" w:rsidRPr="00BA5773">
        <w:t xml:space="preserve"> to energy transfer, the shorter-range electron exchange mechanism for quenching the fluorescence of </w:t>
      </w:r>
      <w:r w:rsidR="00414D87" w:rsidRPr="00BA5773">
        <w:rPr>
          <w:b/>
          <w:bCs/>
        </w:rPr>
        <w:t>1</w:t>
      </w:r>
      <w:r w:rsidR="00414D87" w:rsidRPr="00BA5773">
        <w:t xml:space="preserve"> requires a much closer donor-acceptor distance, on the order of a few Angstroms</w:t>
      </w:r>
      <w:bookmarkStart w:id="5" w:name="_Hlk63673131"/>
      <w:r w:rsidR="004B6BD1" w:rsidRPr="00BA5773">
        <w:t xml:space="preserve">, and decreases significantly as the fluorophore to nitroxide distance is </w:t>
      </w:r>
      <w:r w:rsidR="004B6BD1" w:rsidRPr="00BA5773">
        <w:lastRenderedPageBreak/>
        <w:t>increased</w:t>
      </w:r>
      <w:bookmarkEnd w:id="5"/>
      <w:r w:rsidR="00C3401C" w:rsidRPr="00BA5773">
        <w:t>.</w:t>
      </w:r>
      <w:r w:rsidR="00C3401C" w:rsidRPr="00BA5773">
        <w:fldChar w:fldCharType="begin" w:fldLock="1"/>
      </w:r>
      <w:r w:rsidR="00E92323">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Spectroscopy","id":"ITEM-1","issued":{"date-parts":[["2006"]]},"number-of-pages":"1-954","publisher":"Springer, New York","title":"Principles of fluorescence spectroscopy","type":"book"},"uris":["http://www.mendeley.com/documents/?uuid=c9caa076-fbf3-4160-9c6f-cf13847c401f"]},{"id":"ITEM-2","itemData":{"DOI":"10.1021/ja00176a038","ISSN":"15205126","abstract":"Absorbance and steady-state and time-resolved fluorescence measurements were employed to examine the mechanism(s) of excited singlet state quenching by nitroxides in a series of nitroxide-fluorophore adducts. This work establishes the following: (1) the absorption and emission energies of the fluorophores are unaffected by the presence of the nitroxide substituent(s), and the residual emission that is observed from the adducts arises from the locally excited singlet of the fluorophore, not from charge recombination; (2) rate constants for intramolecular quenching by the nitroxides (kq) are high (108-1010 s-1) and decrease significantly with increasing nitroxide to fluorophore distance-however, relatively high rates of quenching (&gt;108 s-1) are observed over distances as great as 12 Å (3) Forster energy transfer does not contribute significantly to the quenching due to the low values for the spectral overlap integrals; (4) the kq's do not increase proportionally to the solvent-dependent increases in the Dexter overlap integral, indicating that energy transfer by the Dexter mechanism is not responsible for the quenching; (5) the values of kq show no obvious correlation with the calculated free energies for photoinduced electron transfer, suggesting that this quenching pathway is also unimportant; (6) for hematoporphyrin-nitroxide adducts, which contain a fluorophore whose singlet energy is below that of the first excited state energy of the nitroxide (thusprecluding energy transfer), significant rates of quenching are still observed; (7) for compounds with similar nitroxide-fluorophore distance, an approximately linear correlation is observed between the kq's of the paramagnetic compounds and the nonradiative rate constants of the diamagnetic reference compounds, suggesting that the nitroxide moiety catalyses a preexisting nonradiative pathway in the fluorophore. These results indicate that the quenching arises through electron exchange which causes relaxation of the (local) singlet state to the triplet and/or ground state of the fluorophore. © 1990, American Chemical Society. All rights reserved.","author":[{"dropping-particle":"","family":"Green","given":"S. A.","non-dropping-particle":"","parse-names":false,"suffix":""},{"dropping-particle":"","family":"Simpson","given":"D. J.","non-dropping-particle":"","parse-names":false,"suffix":""},{"dropping-particle":"","family":"Zhou","given":"G.","non-dropping-particle":"","parse-names":false,"suffix":""},{"dropping-particle":"","family":"Ho","given":"P. S.","non-dropping-particle":"","parse-names":false,"suffix":""},{"dropping-particle":"V.","family":"Blough","given":"N.","non-dropping-particle":"","parse-names":false,"suffix":""}],"container-title":"Journal of the American Chemical Society","id":"ITEM-2","issue":"20","issued":{"date-parts":[["1990"]]},"page":"7337-7346","title":"Intramolecular Quenching of Excited Singlet States by StableNitroxyl Radicals","type":"article-journal","volume":"112"},"uris":["http://www.mendeley.com/documents/?uuid=8f71c724-546c-459e-98af-0cd2921cdab8"]}],"mendeley":{"formattedCitation":"&lt;sup&gt;[17,33]&lt;/sup&gt;","plainTextFormattedCitation":"[17,33]","previouslyFormattedCitation":"&lt;sup&gt;[17,33]&lt;/sup&gt;"},"properties":{"noteIndex":0},"schema":"https://github.com/citation-style-language/schema/raw/master/csl-citation.json"}</w:instrText>
      </w:r>
      <w:r w:rsidR="00C3401C" w:rsidRPr="00BA5773">
        <w:fldChar w:fldCharType="separate"/>
      </w:r>
      <w:r w:rsidR="00187D63" w:rsidRPr="00BA5773">
        <w:rPr>
          <w:noProof/>
          <w:vertAlign w:val="superscript"/>
        </w:rPr>
        <w:t>[17,33]</w:t>
      </w:r>
      <w:r w:rsidR="00C3401C" w:rsidRPr="00BA5773">
        <w:fldChar w:fldCharType="end"/>
      </w:r>
      <w:r w:rsidR="00414D87" w:rsidRPr="00BA5773">
        <w:t xml:space="preserve"> We therefore </w:t>
      </w:r>
      <w:r w:rsidR="0044211D" w:rsidRPr="00BA5773">
        <w:t xml:space="preserve">adopted a design for </w:t>
      </w:r>
      <w:r w:rsidR="00414D87" w:rsidRPr="00BA5773">
        <w:t xml:space="preserve">the chemical structure of </w:t>
      </w:r>
      <w:r w:rsidR="00414D87" w:rsidRPr="00BA5773">
        <w:rPr>
          <w:b/>
          <w:bCs/>
        </w:rPr>
        <w:t>1</w:t>
      </w:r>
      <w:r w:rsidR="00414D87" w:rsidRPr="00BA5773">
        <w:t xml:space="preserve"> </w:t>
      </w:r>
      <w:r w:rsidR="0044211D" w:rsidRPr="00BA5773">
        <w:t xml:space="preserve">that </w:t>
      </w:r>
      <w:r w:rsidR="00414D87" w:rsidRPr="00BA5773">
        <w:t>minimize</w:t>
      </w:r>
      <w:r w:rsidR="0044211D" w:rsidRPr="00BA5773">
        <w:t>s</w:t>
      </w:r>
      <w:r w:rsidR="00414D87" w:rsidRPr="00BA5773">
        <w:t xml:space="preserve"> separation between the </w:t>
      </w:r>
      <w:r w:rsidR="00414D87" w:rsidRPr="00BA5773">
        <w:rPr>
          <w:b/>
          <w:bCs/>
        </w:rPr>
        <w:t>Q</w:t>
      </w:r>
      <w:r w:rsidR="00414D87" w:rsidRPr="00BA5773">
        <w:t xml:space="preserve"> and TEMPO units. </w:t>
      </w:r>
      <w:bookmarkEnd w:id="4"/>
    </w:p>
    <w:p w14:paraId="6F0F0EB6" w14:textId="13071514" w:rsidR="003A36CD" w:rsidRPr="00BA5773" w:rsidRDefault="008715D9" w:rsidP="003120A2">
      <w:pPr>
        <w:spacing w:before="0" w:afterLines="120" w:after="288" w:line="360" w:lineRule="auto"/>
        <w:ind w:firstLine="567"/>
        <w:jc w:val="both"/>
      </w:pPr>
      <w:r w:rsidRPr="00BA5773">
        <w:t>I</w:t>
      </w:r>
      <w:r w:rsidR="000C5156" w:rsidRPr="00BA5773">
        <w:t xml:space="preserve">llumination </w:t>
      </w:r>
      <w:r w:rsidR="000140AB" w:rsidRPr="00BA5773">
        <w:t>of a</w:t>
      </w:r>
      <w:r w:rsidR="000C5156" w:rsidRPr="00BA5773">
        <w:t>n aerated</w:t>
      </w:r>
      <w:r w:rsidR="000140AB" w:rsidRPr="00BA5773">
        <w:t xml:space="preserve"> CH</w:t>
      </w:r>
      <w:r w:rsidR="000140AB" w:rsidRPr="00BA5773">
        <w:rPr>
          <w:vertAlign w:val="subscript"/>
        </w:rPr>
        <w:t>3</w:t>
      </w:r>
      <w:r w:rsidR="000140AB" w:rsidRPr="00BA5773">
        <w:t xml:space="preserve">CN solution of </w:t>
      </w:r>
      <w:r w:rsidR="000140AB" w:rsidRPr="00BA5773">
        <w:rPr>
          <w:b/>
          <w:bCs/>
        </w:rPr>
        <w:t>1</w:t>
      </w:r>
      <w:r w:rsidR="000140AB" w:rsidRPr="00BA5773">
        <w:t xml:space="preserve"> </w:t>
      </w:r>
      <w:r w:rsidR="004D5627" w:rsidRPr="00BA5773">
        <w:t xml:space="preserve">at 365 nm </w:t>
      </w:r>
      <w:r w:rsidR="00932FD7" w:rsidRPr="00BA5773">
        <w:t xml:space="preserve">does not produce any detectable change in the absorption </w:t>
      </w:r>
      <w:r w:rsidR="000C5156" w:rsidRPr="00BA5773">
        <w:t xml:space="preserve">or emission </w:t>
      </w:r>
      <w:r w:rsidR="00932FD7" w:rsidRPr="00BA5773">
        <w:t>spectr</w:t>
      </w:r>
      <w:r w:rsidR="000C5156" w:rsidRPr="00BA5773">
        <w:t>a (Figure S1)</w:t>
      </w:r>
      <w:r w:rsidR="001E1A3F" w:rsidRPr="00BA5773">
        <w:t xml:space="preserve">. </w:t>
      </w:r>
      <w:r w:rsidR="00842654" w:rsidRPr="00BA5773">
        <w:t xml:space="preserve">Irradiation of </w:t>
      </w:r>
      <w:r w:rsidR="00842654" w:rsidRPr="00BA5773">
        <w:rPr>
          <w:b/>
          <w:bCs/>
        </w:rPr>
        <w:t>1</w:t>
      </w:r>
      <w:r w:rsidR="00842654" w:rsidRPr="00BA5773">
        <w:t xml:space="preserve"> in C</w:t>
      </w:r>
      <w:r w:rsidR="00842654" w:rsidRPr="00BA5773">
        <w:rPr>
          <w:vertAlign w:val="subscript"/>
        </w:rPr>
        <w:t>6</w:t>
      </w:r>
      <w:r w:rsidR="00842654" w:rsidRPr="00BA5773">
        <w:t>H</w:t>
      </w:r>
      <w:r w:rsidR="00842654" w:rsidRPr="00BA5773">
        <w:rPr>
          <w:vertAlign w:val="subscript"/>
        </w:rPr>
        <w:t>6</w:t>
      </w:r>
      <w:r w:rsidR="00842654" w:rsidRPr="00BA5773">
        <w:t xml:space="preserve"> in otherwise identical conditions leads to analogous results (Figure S3). </w:t>
      </w:r>
      <w:r w:rsidR="001E1A3F" w:rsidRPr="00BA5773">
        <w:t xml:space="preserve">This result is in agreement </w:t>
      </w:r>
      <w:r w:rsidR="00934F43" w:rsidRPr="00BA5773">
        <w:t>with the previously observed behaviours of other quinoline-TEMPO antenna systems, for which it has been noted that quinoline-TEMPO photochemistry in pure solvents (i.e.</w:t>
      </w:r>
      <w:r w:rsidR="00310DB5" w:rsidRPr="00BA5773">
        <w:t>,</w:t>
      </w:r>
      <w:r w:rsidR="00934F43" w:rsidRPr="00BA5773">
        <w:t xml:space="preserve"> in the absence of a good H</w:t>
      </w:r>
      <w:r w:rsidR="004D5627" w:rsidRPr="00BA5773">
        <w:t>-</w:t>
      </w:r>
      <w:r w:rsidR="00934F43" w:rsidRPr="00BA5773">
        <w:t xml:space="preserve">donor) is inefficient </w:t>
      </w:r>
      <w:bookmarkStart w:id="6" w:name="_Hlk62634881"/>
      <w:r w:rsidR="00934F43" w:rsidRPr="00BA5773">
        <w:t>in aerated or oxygenated solution</w:t>
      </w:r>
      <w:r w:rsidRPr="00BA5773">
        <w:t>s</w:t>
      </w:r>
      <w:bookmarkEnd w:id="6"/>
      <w:r w:rsidR="00D41DCA" w:rsidRPr="00BA5773">
        <w:t xml:space="preserve">. </w:t>
      </w:r>
      <w:r w:rsidR="00892A10" w:rsidRPr="00BA5773">
        <w:t xml:space="preserve">For example, Goto </w:t>
      </w:r>
      <w:r w:rsidR="00892A10" w:rsidRPr="00BA5773">
        <w:rPr>
          <w:i/>
          <w:iCs/>
        </w:rPr>
        <w:t>et al</w:t>
      </w:r>
      <w:r w:rsidR="00892A10" w:rsidRPr="00BA5773">
        <w:t>. successfully promoted the photochemical dissociation of a TEMPO-based alkoxyamine by intramolecular energy transfer from an excited quinoline dye,</w:t>
      </w:r>
      <w:r w:rsidR="00DB3032" w:rsidRPr="00BA5773">
        <w:fldChar w:fldCharType="begin" w:fldLock="1"/>
      </w:r>
      <w:r w:rsidR="00B06452" w:rsidRPr="00BA5773">
        <w:instrText>ADDIN CSL_CITATION {"citationItems":[{"id":"ITEM-1","itemData":{"DOI":"10.1039/b705671k","ISSN":"14749092","abstract":"The photolysis of an alkoxyamine triad comprised of the 1-phenylethyl moiety, 2,2,6,6-tetramethylpiperidinyl-1-oxy (TEMPO) and 2-methyl-3-hydroxy quinoline leads to energy transfer from the quinoline moiety (antenna) and cleavage of the C-O alkoxyamine bond, suggesting its possible applications in low temperature living free radical polymerization. © The Royal Society of Chemistry and Owner Societies.","author":[{"dropping-particle":"","family":"Goto","given":"Atsushi","non-dropping-particle":"","parse-names":false,"suffix":""},{"dropping-particle":"","family":"Scaiano","given":"J. C.","non-dropping-particle":"","parse-names":false,"suffix":""},{"dropping-particle":"","family":"Maretti","given":"Luca","non-dropping-particle":"","parse-names":false,"suffix":""}],"container-title":"Photochemical and Photobiological Sciences","id":"ITEM-1","issue":"8","issued":{"date-parts":[["2007"]]},"page":"833-835","title":"Photolysis of an alkoxyamine using intramolecular energy transfer from a quinoline antenna - Towards photo-induced living radical polymerization","type":"article-journal","volume":"6"},"uris":["http://www.mendeley.com/documents/?uuid=899a57f9-63f2-45fa-9a3d-cfb4d9670a12"]}],"mendeley":{"formattedCitation":"&lt;sup&gt;[31]&lt;/sup&gt;","plainTextFormattedCitation":"[31]","previouslyFormattedCitation":"&lt;sup&gt;[31]&lt;/sup&gt;"},"properties":{"noteIndex":0},"schema":"https://github.com/citation-style-language/schema/raw/master/csl-citation.json"}</w:instrText>
      </w:r>
      <w:r w:rsidR="00DB3032" w:rsidRPr="00BA5773">
        <w:fldChar w:fldCharType="separate"/>
      </w:r>
      <w:r w:rsidR="0074268C" w:rsidRPr="00BA5773">
        <w:rPr>
          <w:noProof/>
          <w:vertAlign w:val="superscript"/>
        </w:rPr>
        <w:t>[31]</w:t>
      </w:r>
      <w:r w:rsidR="00DB3032" w:rsidRPr="00BA5773">
        <w:fldChar w:fldCharType="end"/>
      </w:r>
      <w:r w:rsidR="00892A10" w:rsidRPr="00BA5773">
        <w:t xml:space="preserve"> while Su </w:t>
      </w:r>
      <w:r w:rsidR="00892A10" w:rsidRPr="00BA5773">
        <w:rPr>
          <w:i/>
          <w:iCs/>
        </w:rPr>
        <w:t>et al</w:t>
      </w:r>
      <w:r w:rsidR="00892A10" w:rsidRPr="00BA5773">
        <w:t>. exploited quinoline-sensitized TEMPO-alkoxyamine photolysis to promote the polymerization of methyl methacrylate.</w:t>
      </w:r>
      <w:r w:rsidR="00DB3032" w:rsidRPr="00BA5773">
        <w:fldChar w:fldCharType="begin" w:fldLock="1"/>
      </w:r>
      <w:r w:rsidR="00B06452" w:rsidRPr="00BA5773">
        <w:instrText>ADDIN CSL_CITATION {"citationItems":[{"id":"ITEM-1","itemData":{"DOI":"10.1155/2016/6482050","ISSN":"1687-9422","abstract":"Photosensitive alkoxyamine 2,2,6,6-tetramethyl-1-(1-phenylethoxy)piperidin-4-yl quinoline-2-carboxylate (PE-TEMPO-Q) was synthesized. Photochemical properties of PE-TEMPO-Q were studied to develop photoinduced nitroxide-mediated polymerization of methyl methacrylate (MMA). Rapid and facile polymerization at ambient temperature with PE-TEMPO-Q as an initiator was confirmed to proceed in a controlled mechanism based on the linear growth in molecular weight combined with relative narrow polydispersity index (1.4–1.8) of the resulting polymers. The stereochemistry of obtained polymers was also investigated, and the syndiotacticity slightly increased compared with the typical photopolymerization. Dual-controlled photopolymerization of MMA was achieved in the presence of synthesized alkoxyamine.","author":[{"dropping-particle":"","family":"Su","given":"Juahui","non-dropping-particle":"","parse-names":false,"suffix":""},{"dropping-particle":"","family":"Liu","given":"Xiaoxuan","non-dropping-particle":"","parse-names":false,"suffix":""},{"dropping-particle":"","family":"Li","given":"Maijun","non-dropping-particle":"","parse-names":false,"suffix":""},{"dropping-particle":"","family":"Zhang","given":"Ting","non-dropping-particle":"","parse-names":false,"suffix":""},{"dropping-particle":"","family":"Cui","given":"Yanyan","non-dropping-particle":"","parse-names":false,"suffix":""}],"container-title":"International Journal of Polymer Science","id":"ITEM-1","issued":{"date-parts":[["2016"]]},"page":"1-8","publisher":"Hindawi Publishing Corporation","title":"Stereocontrol of Methyl Methacrylate during Photoinduced Nitroxide-Mediated Polymerization in the Presence of Photosensitive Alkoxyamine","type":"article-journal","volume":"2016"},"uris":["http://www.mendeley.com/documents/?uuid=78f4503d-72fd-40e6-9643-62acacf49ad3"]}],"mendeley":{"formattedCitation":"&lt;sup&gt;[32]&lt;/sup&gt;","plainTextFormattedCitation":"[32]","previouslyFormattedCitation":"&lt;sup&gt;[32]&lt;/sup&gt;"},"properties":{"noteIndex":0},"schema":"https://github.com/citation-style-language/schema/raw/master/csl-citation.json"}</w:instrText>
      </w:r>
      <w:r w:rsidR="00DB3032" w:rsidRPr="00BA5773">
        <w:fldChar w:fldCharType="separate"/>
      </w:r>
      <w:r w:rsidR="0074268C" w:rsidRPr="00BA5773">
        <w:rPr>
          <w:noProof/>
          <w:vertAlign w:val="superscript"/>
        </w:rPr>
        <w:t>[32]</w:t>
      </w:r>
      <w:r w:rsidR="00DB3032" w:rsidRPr="00BA5773">
        <w:fldChar w:fldCharType="end"/>
      </w:r>
      <w:r w:rsidR="00892A10" w:rsidRPr="00BA5773">
        <w:t xml:space="preserve"> In these reports, a quinoline antenna absorbs UVA light and transfers the energy to a TEMPO acceptor to cleave the NO-C bond of the alkoxyamine</w:t>
      </w:r>
      <w:r w:rsidR="00B90BD1" w:rsidRPr="00BA5773">
        <w:t xml:space="preserve">. However, the system performs </w:t>
      </w:r>
      <w:r w:rsidR="00892A10" w:rsidRPr="00BA5773">
        <w:t>only under controlled atmosphere.</w:t>
      </w:r>
      <w:r w:rsidR="00D41DCA" w:rsidRPr="00BA5773">
        <w:t xml:space="preserve"> </w:t>
      </w:r>
      <w:r w:rsidR="00892A10" w:rsidRPr="00BA5773">
        <w:t xml:space="preserve">Based on these considerations, we </w:t>
      </w:r>
      <w:r w:rsidR="00934F43" w:rsidRPr="00BA5773">
        <w:t xml:space="preserve">irradiated a solution of </w:t>
      </w:r>
      <w:r w:rsidR="00934F43" w:rsidRPr="00BA5773">
        <w:rPr>
          <w:b/>
          <w:bCs/>
        </w:rPr>
        <w:t>1</w:t>
      </w:r>
      <w:r w:rsidR="00934F43" w:rsidRPr="00BA5773">
        <w:t xml:space="preserve"> in CH</w:t>
      </w:r>
      <w:r w:rsidR="00934F43" w:rsidRPr="00BA5773">
        <w:rPr>
          <w:vertAlign w:val="subscript"/>
        </w:rPr>
        <w:t>3</w:t>
      </w:r>
      <w:r w:rsidR="00934F43" w:rsidRPr="00BA5773">
        <w:t>CN under N</w:t>
      </w:r>
      <w:r w:rsidR="00934F43" w:rsidRPr="00BA5773">
        <w:rPr>
          <w:vertAlign w:val="subscript"/>
        </w:rPr>
        <w:t>2</w:t>
      </w:r>
      <w:r w:rsidR="00934F43" w:rsidRPr="00BA5773">
        <w:t xml:space="preserve"> atmosphere</w:t>
      </w:r>
      <w:r w:rsidR="0091194E" w:rsidRPr="00BA5773">
        <w:t xml:space="preserve"> at 365 nm. </w:t>
      </w:r>
      <w:r w:rsidR="00FE080A" w:rsidRPr="00BA5773">
        <w:t xml:space="preserve">Although no changes in absorption </w:t>
      </w:r>
      <w:r w:rsidR="001869C8" w:rsidRPr="00BA5773">
        <w:t>occurred</w:t>
      </w:r>
      <w:r w:rsidR="00FE080A" w:rsidRPr="00BA5773">
        <w:t xml:space="preserve"> (Figure S</w:t>
      </w:r>
      <w:r w:rsidR="00065104" w:rsidRPr="00BA5773">
        <w:t>4</w:t>
      </w:r>
      <w:r w:rsidR="00FE080A" w:rsidRPr="00BA5773">
        <w:t xml:space="preserve">), </w:t>
      </w:r>
      <w:r w:rsidR="00934F43" w:rsidRPr="00BA5773">
        <w:t xml:space="preserve">a </w:t>
      </w:r>
      <w:r w:rsidR="00B45F5D" w:rsidRPr="00BA5773">
        <w:t>2.</w:t>
      </w:r>
      <w:r w:rsidR="001C56A7" w:rsidRPr="00BA5773">
        <w:t>75</w:t>
      </w:r>
      <w:r w:rsidR="00934F43" w:rsidRPr="00BA5773">
        <w:t>-fold increase</w:t>
      </w:r>
      <w:r w:rsidR="00B45F5D" w:rsidRPr="00BA5773">
        <w:t xml:space="preserve"> (average of two trials)</w:t>
      </w:r>
      <w:r w:rsidR="00934F43" w:rsidRPr="00BA5773">
        <w:t xml:space="preserve"> in fluorescence intensity </w:t>
      </w:r>
      <w:r w:rsidR="004D5627" w:rsidRPr="00BA5773">
        <w:t>wa</w:t>
      </w:r>
      <w:r w:rsidR="00934F43" w:rsidRPr="00BA5773">
        <w:t xml:space="preserve">s observed when species </w:t>
      </w:r>
      <w:r w:rsidR="00934F43" w:rsidRPr="00BA5773">
        <w:rPr>
          <w:b/>
          <w:bCs/>
        </w:rPr>
        <w:t>1</w:t>
      </w:r>
      <w:r w:rsidR="00934F43" w:rsidRPr="00BA5773">
        <w:t xml:space="preserve"> </w:t>
      </w:r>
      <w:r w:rsidR="004D5627" w:rsidRPr="00BA5773">
        <w:t>wa</w:t>
      </w:r>
      <w:r w:rsidR="00934F43" w:rsidRPr="00BA5773">
        <w:t>s irradiated under N</w:t>
      </w:r>
      <w:r w:rsidR="00934F43" w:rsidRPr="00BA5773">
        <w:rPr>
          <w:vertAlign w:val="subscript"/>
        </w:rPr>
        <w:t>2</w:t>
      </w:r>
      <w:r w:rsidR="00B45F5D" w:rsidRPr="00BA5773">
        <w:rPr>
          <w:vertAlign w:val="subscript"/>
        </w:rPr>
        <w:t xml:space="preserve"> </w:t>
      </w:r>
      <w:r w:rsidR="00B45F5D" w:rsidRPr="00BA5773">
        <w:t xml:space="preserve">(Figure </w:t>
      </w:r>
      <w:r w:rsidR="00D932DE" w:rsidRPr="00BA5773">
        <w:t>1</w:t>
      </w:r>
      <w:r w:rsidR="00B45F5D" w:rsidRPr="00BA5773">
        <w:t>)</w:t>
      </w:r>
      <w:r w:rsidR="00934F43" w:rsidRPr="00BA5773">
        <w:t xml:space="preserve">, indicating the </w:t>
      </w:r>
      <w:r w:rsidR="00027EB5" w:rsidRPr="00BA5773">
        <w:t xml:space="preserve">photochemical </w:t>
      </w:r>
      <w:r w:rsidR="00C227ED" w:rsidRPr="00BA5773">
        <w:t>formation</w:t>
      </w:r>
      <w:r w:rsidR="00934F43" w:rsidRPr="00BA5773">
        <w:t xml:space="preserve"> of </w:t>
      </w:r>
      <w:r w:rsidR="0091194E" w:rsidRPr="00BA5773">
        <w:t xml:space="preserve">a </w:t>
      </w:r>
      <w:r w:rsidR="00027EB5" w:rsidRPr="00BA5773">
        <w:t xml:space="preserve">diamagnetic </w:t>
      </w:r>
      <w:r w:rsidR="00934F43" w:rsidRPr="00BA5773">
        <w:t>product</w:t>
      </w:r>
      <w:r w:rsidR="0091194E" w:rsidRPr="00BA5773">
        <w:t xml:space="preserve">. </w:t>
      </w:r>
      <w:r w:rsidR="00782AA1" w:rsidRPr="00BA5773">
        <w:t xml:space="preserve">The maximum increase in emission, observed after 60 minutes of irradiation, is comparable to the luminescence of the model compound </w:t>
      </w:r>
      <w:r w:rsidR="00782AA1" w:rsidRPr="00BA5773">
        <w:rPr>
          <w:b/>
          <w:bCs/>
        </w:rPr>
        <w:t>4</w:t>
      </w:r>
      <w:r w:rsidR="00782AA1" w:rsidRPr="00BA5773">
        <w:t xml:space="preserve"> at identical concentration (Figure S5)</w:t>
      </w:r>
      <w:r w:rsidR="00EC2DBB" w:rsidRPr="00BA5773">
        <w:t xml:space="preserve">, confirming </w:t>
      </w:r>
      <w:r w:rsidR="00782AA1" w:rsidRPr="00BA5773">
        <w:t xml:space="preserve">that the process is aimed at restoring the quenched fluorescence of the quinoline chromophore, rather than </w:t>
      </w:r>
      <w:r w:rsidR="00E60F93" w:rsidRPr="00BA5773">
        <w:t xml:space="preserve">increasing its </w:t>
      </w:r>
      <w:r w:rsidR="00782AA1" w:rsidRPr="00BA5773">
        <w:t>quantum yield.</w:t>
      </w:r>
      <w:r w:rsidR="005E295C" w:rsidRPr="00BA5773">
        <w:t xml:space="preserve"> </w:t>
      </w:r>
      <w:r w:rsidR="00310DB5" w:rsidRPr="00BA5773">
        <w:t>T</w:t>
      </w:r>
      <w:r w:rsidR="005E295C" w:rsidRPr="00BA5773">
        <w:t xml:space="preserve">he spectra in Figure S5 </w:t>
      </w:r>
      <w:r w:rsidR="00310DB5" w:rsidRPr="00BA5773">
        <w:t xml:space="preserve">also </w:t>
      </w:r>
      <w:r w:rsidR="005E295C" w:rsidRPr="00BA5773">
        <w:t>suggest that</w:t>
      </w:r>
      <w:r w:rsidR="00EB41C1" w:rsidRPr="00BA5773">
        <w:t xml:space="preserve"> the conversion of</w:t>
      </w:r>
      <w:r w:rsidR="005E295C" w:rsidRPr="00BA5773">
        <w:t xml:space="preserve"> </w:t>
      </w:r>
      <w:r w:rsidR="005E295C" w:rsidRPr="00BA5773">
        <w:rPr>
          <w:b/>
          <w:bCs/>
        </w:rPr>
        <w:t>1</w:t>
      </w:r>
      <w:r w:rsidR="005E295C" w:rsidRPr="00BA5773">
        <w:t xml:space="preserve"> is </w:t>
      </w:r>
      <w:r w:rsidR="00EB41C1" w:rsidRPr="00BA5773">
        <w:t>approximately quantitative</w:t>
      </w:r>
      <w:r w:rsidR="005E295C" w:rsidRPr="00BA5773">
        <w:t xml:space="preserve">. </w:t>
      </w:r>
    </w:p>
    <w:p w14:paraId="09A3C00F" w14:textId="76B1B0EA" w:rsidR="00206C96" w:rsidRPr="00BA5773" w:rsidRDefault="00A52436" w:rsidP="00695CAF">
      <w:pPr>
        <w:spacing w:beforeLines="120" w:before="288" w:afterLines="120" w:after="288" w:line="360" w:lineRule="auto"/>
        <w:ind w:firstLine="567"/>
        <w:jc w:val="center"/>
      </w:pPr>
      <w:r w:rsidRPr="00BA5773">
        <w:rPr>
          <w:noProof/>
        </w:rPr>
        <w:lastRenderedPageBreak/>
        <w:drawing>
          <wp:inline distT="0" distB="0" distL="0" distR="0" wp14:anchorId="60FC7D78" wp14:editId="77BBC5A0">
            <wp:extent cx="3060000" cy="25495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68" t="6337" r="11580"/>
                    <a:stretch/>
                  </pic:blipFill>
                  <pic:spPr bwMode="auto">
                    <a:xfrm>
                      <a:off x="0" y="0"/>
                      <a:ext cx="3060000" cy="2549501"/>
                    </a:xfrm>
                    <a:prstGeom prst="rect">
                      <a:avLst/>
                    </a:prstGeom>
                    <a:noFill/>
                    <a:ln>
                      <a:noFill/>
                    </a:ln>
                    <a:extLst>
                      <a:ext uri="{53640926-AAD7-44D8-BBD7-CCE9431645EC}">
                        <a14:shadowObscured xmlns:a14="http://schemas.microsoft.com/office/drawing/2010/main"/>
                      </a:ext>
                    </a:extLst>
                  </pic:spPr>
                </pic:pic>
              </a:graphicData>
            </a:graphic>
          </wp:inline>
        </w:drawing>
      </w:r>
    </w:p>
    <w:p w14:paraId="04C14710" w14:textId="59C06B14" w:rsidR="0005281B" w:rsidRPr="00BA5773" w:rsidRDefault="0005281B" w:rsidP="00695CAF">
      <w:pPr>
        <w:spacing w:beforeLines="120" w:before="288" w:afterLines="120" w:after="288" w:line="360" w:lineRule="auto"/>
        <w:jc w:val="both"/>
        <w:rPr>
          <w:sz w:val="22"/>
          <w:szCs w:val="20"/>
        </w:rPr>
      </w:pPr>
      <w:r w:rsidRPr="00BA5773">
        <w:rPr>
          <w:b/>
          <w:bCs/>
          <w:sz w:val="22"/>
          <w:szCs w:val="20"/>
        </w:rPr>
        <w:t xml:space="preserve">Fig. </w:t>
      </w:r>
      <w:r w:rsidR="00CC6D35" w:rsidRPr="00BA5773">
        <w:rPr>
          <w:b/>
          <w:bCs/>
          <w:sz w:val="22"/>
          <w:szCs w:val="20"/>
        </w:rPr>
        <w:t>1</w:t>
      </w:r>
      <w:r w:rsidRPr="00BA5773">
        <w:rPr>
          <w:b/>
          <w:bCs/>
          <w:sz w:val="22"/>
          <w:szCs w:val="20"/>
        </w:rPr>
        <w:t xml:space="preserve"> </w:t>
      </w:r>
      <w:r w:rsidR="00206C96" w:rsidRPr="00BA5773">
        <w:rPr>
          <w:sz w:val="22"/>
          <w:szCs w:val="20"/>
        </w:rPr>
        <w:t>E</w:t>
      </w:r>
      <w:r w:rsidRPr="00BA5773">
        <w:rPr>
          <w:sz w:val="22"/>
          <w:szCs w:val="20"/>
        </w:rPr>
        <w:t>mission spectra of a CH</w:t>
      </w:r>
      <w:r w:rsidRPr="00BA5773">
        <w:rPr>
          <w:sz w:val="22"/>
          <w:szCs w:val="20"/>
          <w:vertAlign w:val="subscript"/>
        </w:rPr>
        <w:t>3</w:t>
      </w:r>
      <w:r w:rsidRPr="00BA5773">
        <w:rPr>
          <w:sz w:val="22"/>
          <w:szCs w:val="20"/>
        </w:rPr>
        <w:t xml:space="preserve">CN solution of </w:t>
      </w:r>
      <w:r w:rsidRPr="00BA5773">
        <w:rPr>
          <w:b/>
          <w:bCs/>
          <w:sz w:val="22"/>
          <w:szCs w:val="20"/>
        </w:rPr>
        <w:t>1</w:t>
      </w:r>
      <w:r w:rsidRPr="00BA5773">
        <w:rPr>
          <w:sz w:val="22"/>
          <w:szCs w:val="20"/>
        </w:rPr>
        <w:t xml:space="preserve"> (30 </w:t>
      </w:r>
      <w:r w:rsidRPr="00BA5773">
        <w:rPr>
          <w:rFonts w:ascii="Symbol" w:hAnsi="Symbol"/>
          <w:sz w:val="22"/>
          <w:szCs w:val="20"/>
        </w:rPr>
        <w:t></w:t>
      </w:r>
      <w:r w:rsidRPr="00BA5773">
        <w:rPr>
          <w:sz w:val="22"/>
          <w:szCs w:val="20"/>
        </w:rPr>
        <w:t>M, 20</w:t>
      </w:r>
      <w:r w:rsidRPr="00BA5773">
        <w:rPr>
          <w:sz w:val="22"/>
          <w:szCs w:val="20"/>
        </w:rPr>
        <w:sym w:font="Symbol" w:char="F0B0"/>
      </w:r>
      <w:r w:rsidRPr="00BA5773">
        <w:rPr>
          <w:sz w:val="22"/>
          <w:szCs w:val="20"/>
        </w:rPr>
        <w:t xml:space="preserve">C, </w:t>
      </w:r>
      <w:r w:rsidRPr="00BA5773">
        <w:rPr>
          <w:rFonts w:ascii="Symbol" w:hAnsi="Symbol"/>
          <w:sz w:val="22"/>
          <w:szCs w:val="20"/>
        </w:rPr>
        <w:t></w:t>
      </w:r>
      <w:r w:rsidRPr="00BA5773">
        <w:rPr>
          <w:sz w:val="22"/>
          <w:szCs w:val="20"/>
          <w:vertAlign w:val="subscript"/>
        </w:rPr>
        <w:t>Ex</w:t>
      </w:r>
      <w:r w:rsidRPr="00BA5773">
        <w:rPr>
          <w:sz w:val="22"/>
          <w:szCs w:val="20"/>
        </w:rPr>
        <w:t xml:space="preserve"> = 3</w:t>
      </w:r>
      <w:r w:rsidR="00206C96" w:rsidRPr="00BA5773">
        <w:rPr>
          <w:sz w:val="22"/>
          <w:szCs w:val="20"/>
        </w:rPr>
        <w:t>3</w:t>
      </w:r>
      <w:r w:rsidRPr="00BA5773">
        <w:rPr>
          <w:sz w:val="22"/>
          <w:szCs w:val="20"/>
        </w:rPr>
        <w:t xml:space="preserve">0 nm) before and after </w:t>
      </w:r>
      <w:r w:rsidR="00206C96" w:rsidRPr="00BA5773">
        <w:rPr>
          <w:sz w:val="22"/>
          <w:szCs w:val="20"/>
        </w:rPr>
        <w:t>UVA</w:t>
      </w:r>
      <w:r w:rsidRPr="00BA5773">
        <w:rPr>
          <w:sz w:val="22"/>
          <w:szCs w:val="20"/>
        </w:rPr>
        <w:t xml:space="preserve"> irradiation (</w:t>
      </w:r>
      <w:r w:rsidR="00A82D46" w:rsidRPr="00BA5773">
        <w:rPr>
          <w:sz w:val="22"/>
          <w:szCs w:val="20"/>
        </w:rPr>
        <w:t>365</w:t>
      </w:r>
      <w:r w:rsidRPr="00BA5773">
        <w:rPr>
          <w:sz w:val="22"/>
          <w:szCs w:val="20"/>
        </w:rPr>
        <w:t xml:space="preserve"> nm, 0-60 min</w:t>
      </w:r>
      <w:r w:rsidR="001D0C7E" w:rsidRPr="00BA5773">
        <w:rPr>
          <w:sz w:val="22"/>
          <w:szCs w:val="20"/>
        </w:rPr>
        <w:t>, 0.4 mW cm</w:t>
      </w:r>
      <w:r w:rsidR="001D0C7E" w:rsidRPr="00BA5773">
        <w:rPr>
          <w:sz w:val="22"/>
          <w:szCs w:val="20"/>
          <w:vertAlign w:val="superscript"/>
        </w:rPr>
        <w:t>–2</w:t>
      </w:r>
      <w:r w:rsidRPr="00BA5773">
        <w:rPr>
          <w:sz w:val="22"/>
          <w:szCs w:val="20"/>
        </w:rPr>
        <w:t>)</w:t>
      </w:r>
      <w:r w:rsidR="00206C96" w:rsidRPr="00BA5773">
        <w:rPr>
          <w:sz w:val="22"/>
          <w:szCs w:val="20"/>
        </w:rPr>
        <w:t xml:space="preserve"> under N</w:t>
      </w:r>
      <w:r w:rsidR="00206C96" w:rsidRPr="00BA5773">
        <w:rPr>
          <w:sz w:val="22"/>
          <w:szCs w:val="20"/>
          <w:vertAlign w:val="subscript"/>
        </w:rPr>
        <w:t>2</w:t>
      </w:r>
      <w:r w:rsidR="00206C96" w:rsidRPr="00BA5773">
        <w:rPr>
          <w:sz w:val="22"/>
          <w:szCs w:val="20"/>
        </w:rPr>
        <w:t xml:space="preserve"> atmosphere.</w:t>
      </w:r>
    </w:p>
    <w:p w14:paraId="2DC8CDB4" w14:textId="4E9FE04A" w:rsidR="00065104" w:rsidRPr="00BA5773" w:rsidRDefault="00C97BE8" w:rsidP="00095CE4">
      <w:pPr>
        <w:spacing w:beforeLines="120" w:before="288" w:after="0" w:line="360" w:lineRule="auto"/>
        <w:jc w:val="both"/>
        <w:rPr>
          <w:bCs/>
        </w:rPr>
      </w:pPr>
      <w:r w:rsidRPr="00BA5773">
        <w:t>We</w:t>
      </w:r>
      <w:r w:rsidR="008A4955" w:rsidRPr="00BA5773">
        <w:t xml:space="preserve"> identif</w:t>
      </w:r>
      <w:r w:rsidR="0057538A" w:rsidRPr="00BA5773">
        <w:t>ied</w:t>
      </w:r>
      <w:r w:rsidR="008A4955" w:rsidRPr="00BA5773">
        <w:t xml:space="preserve"> the product </w:t>
      </w:r>
      <w:r w:rsidR="00A82D46" w:rsidRPr="00BA5773">
        <w:t>as</w:t>
      </w:r>
      <w:r w:rsidR="008A4955" w:rsidRPr="00BA5773">
        <w:t xml:space="preserve"> hydroxylamine </w:t>
      </w:r>
      <w:r w:rsidR="004D6D76" w:rsidRPr="00BA5773">
        <w:rPr>
          <w:b/>
          <w:bCs/>
        </w:rPr>
        <w:t>2</w:t>
      </w:r>
      <w:r w:rsidR="008A4955" w:rsidRPr="00BA5773">
        <w:t xml:space="preserve"> (</w:t>
      </w:r>
      <w:r w:rsidR="004D6D76" w:rsidRPr="00BA5773">
        <w:t>Scheme 1)</w:t>
      </w:r>
      <w:r w:rsidR="00A82D46" w:rsidRPr="00BA5773">
        <w:t>, which</w:t>
      </w:r>
      <w:r w:rsidR="004D6D76" w:rsidRPr="00BA5773">
        <w:t xml:space="preserve"> is expected to form </w:t>
      </w:r>
      <w:r w:rsidRPr="00BA5773">
        <w:t>upon partial H</w:t>
      </w:r>
      <w:r w:rsidR="0057673D">
        <w:t xml:space="preserve"> </w:t>
      </w:r>
      <w:r w:rsidRPr="00BA5773">
        <w:t>abstraction from acetonitrile</w:t>
      </w:r>
      <w:r w:rsidR="00A82D46" w:rsidRPr="00BA5773">
        <w:t xml:space="preserve"> with</w:t>
      </w:r>
      <w:r w:rsidRPr="00BA5773">
        <w:t xml:space="preserve"> concomitant</w:t>
      </w:r>
      <w:r w:rsidR="00A82D46" w:rsidRPr="00BA5773">
        <w:t xml:space="preserve"> formation</w:t>
      </w:r>
      <w:r w:rsidRPr="00BA5773">
        <w:t xml:space="preserve"> of a solvent-generated radical, •CH</w:t>
      </w:r>
      <w:r w:rsidRPr="00BA5773">
        <w:rPr>
          <w:vertAlign w:val="subscript"/>
        </w:rPr>
        <w:t>2</w:t>
      </w:r>
      <w:r w:rsidRPr="00BA5773">
        <w:t xml:space="preserve">CN. </w:t>
      </w:r>
      <w:r w:rsidR="0055698A" w:rsidRPr="00BA5773">
        <w:t>L</w:t>
      </w:r>
      <w:r w:rsidR="005B2064" w:rsidRPr="00BA5773">
        <w:t xml:space="preserve">iterature examples reported that </w:t>
      </w:r>
      <w:r w:rsidRPr="00BA5773">
        <w:t>the •CH</w:t>
      </w:r>
      <w:r w:rsidRPr="00BA5773">
        <w:rPr>
          <w:vertAlign w:val="subscript"/>
        </w:rPr>
        <w:t>2</w:t>
      </w:r>
      <w:r w:rsidRPr="00BA5773">
        <w:t xml:space="preserve">CN radical can subsequently couple with a second TEMPO unit to generate </w:t>
      </w:r>
      <w:r w:rsidR="005B2064" w:rsidRPr="00BA5773">
        <w:t>an</w:t>
      </w:r>
      <w:r w:rsidRPr="00BA5773">
        <w:t xml:space="preserve"> </w:t>
      </w:r>
      <w:r w:rsidR="005B2064" w:rsidRPr="00BA5773">
        <w:t xml:space="preserve">adduct, </w:t>
      </w:r>
      <w:r w:rsidRPr="00BA5773">
        <w:t xml:space="preserve">traces of which </w:t>
      </w:r>
      <w:r w:rsidR="0055698A" w:rsidRPr="00BA5773">
        <w:t>could be</w:t>
      </w:r>
      <w:r w:rsidRPr="00BA5773">
        <w:t xml:space="preserve"> detected by mass spectrometry</w:t>
      </w:r>
      <w:r w:rsidR="005B2064" w:rsidRPr="00BA5773">
        <w:t>.</w:t>
      </w:r>
      <w:r w:rsidR="00620DD5" w:rsidRPr="00BA5773">
        <w:fldChar w:fldCharType="begin" w:fldLock="1"/>
      </w:r>
      <w:r w:rsidR="00B06452" w:rsidRPr="00BA5773">
        <w:instrText>ADDIN CSL_CITATION {"citationItems":[{"id":"ITEM-1","itemData":{"DOI":"10.1021/jo00364a036","ISSN":"15206904","abstract":"There have been several reports on the photochemistry of stable nitroxide free radicals. Two types of reactivity have been observed: (i) cleavage of one of the C–N bonds and (ii) hydrogen abstraction by an excited nitroxide. The former is the mechanism in the case of di-tert-butyl nitroxide which yields 2-methyl-2-nitrosopropane and tert-butyl radical which is then scavenged by a second nitroxide molecule. In the case of cyclic nitroxide, 3-carbamoyl-2,2,5,5-tetramethylpyrroline-1-oxyl, α-cleavage is followed by loss of nitric oxide to yield a diene as product. The abstraction mechanism (ii) has been observed in systems such as 4-hydroxy-2,2,6,6-tetramethylpiperidine-N-oxyl6 and a steroid nitroxide. © 1986, American Chemical Society. All rights reserved.","author":[{"dropping-particle":"","family":"Johnston","given":"Linda J.","non-dropping-particle":"","parse-names":false,"suffix":""},{"dropping-particle":"","family":"Tencer","given":"Michal","non-dropping-particle":"","parse-names":false,"suffix":""},{"dropping-particle":"","family":"Scaiano","given":"J. C.","non-dropping-particle":"","parse-names":false,"suffix":""}],"container-title":"Journal of Organic Chemistry","id":"ITEM-1","issue":"14","issued":{"date-parts":[["1986"]]},"page":"2806-2808","title":"Evidence for Hydrogen Transfer in the Photochemistry of 2,2,6,6-Tetramethylpiperidine-N-oxyl","type":"article-journal","volume":"51"},"uris":["http://www.mendeley.com/documents/?uuid=50e55343-270a-46cd-91d0-733a3f131ed2"]},{"id":"ITEM-2","itemData":{"DOI":"10.1039/c3cp51723c","ISSN":"14639076","abstract":"A prefluorescent radical probe in which a 2,2,6,6-tetramethylpiperidine-N- oxyl (TEMPO) unit is sensitized with visible light via energy transfer from a tethered coumarin dye has been synthesized. The excited TEMPO moiety undergoes hydrogen abstraction from a polymer with concomitant functionalization of the polymeric matrix; this writing process can be reversed thermally. The fluorescent probes can be bleached under high intensity illumination, making these new materials suitable for dual-tone lithography with potential applications in sub-diffraction lithographic imaging. © the Owner Societies 2013.","author":[{"dropping-particle":"","family":"Impellizzeri","given":"Stefania","non-dropping-particle":"","parse-names":false,"suffix":""},{"dropping-particle":"","family":"Stamplecoskie","given":"Kevin G.","non-dropping-particle":"","parse-names":false,"suffix":""},{"dropping-particle":"","family":"Scaiano","given":"Juan C.","non-dropping-particle":"","parse-names":false,"suffix":""}],"container-title":"Physical Chemistry Chemical Physics","id":"ITEM-2","issue":"36","issued":{"date-parts":[["2013"]]},"page":"14873-14878","title":"Sensitized excited free-radical processes as read-write tools: Impact on non-linear lithographic processes","type":"article-journal","volume":"15"},"uris":["http://www.mendeley.com/documents/?uuid=017f0e8a-dec8-4d02-9ea6-c0c781e5acd9"]}],"mendeley":{"formattedCitation":"&lt;sup&gt;[28,29]&lt;/sup&gt;","plainTextFormattedCitation":"[28,29]","previouslyFormattedCitation":"&lt;sup&gt;[28,29]&lt;/sup&gt;"},"properties":{"noteIndex":0},"schema":"https://github.com/citation-style-language/schema/raw/master/csl-citation.json"}</w:instrText>
      </w:r>
      <w:r w:rsidR="00620DD5" w:rsidRPr="00BA5773">
        <w:fldChar w:fldCharType="separate"/>
      </w:r>
      <w:r w:rsidR="0074268C" w:rsidRPr="00BA5773">
        <w:rPr>
          <w:noProof/>
          <w:vertAlign w:val="superscript"/>
        </w:rPr>
        <w:t>[28,29]</w:t>
      </w:r>
      <w:r w:rsidR="00620DD5" w:rsidRPr="00BA5773">
        <w:fldChar w:fldCharType="end"/>
      </w:r>
      <w:r w:rsidR="005B2064" w:rsidRPr="00BA5773">
        <w:t xml:space="preserve"> In our case however, GC-MS analysis </w:t>
      </w:r>
      <w:r w:rsidR="00342F94" w:rsidRPr="00BA5773">
        <w:t>of the same reaction repeated on a m</w:t>
      </w:r>
      <w:r w:rsidR="0057538A" w:rsidRPr="00BA5773">
        <w:t>illigram</w:t>
      </w:r>
      <w:r w:rsidR="00342F94" w:rsidRPr="00BA5773">
        <w:t xml:space="preserve"> scale </w:t>
      </w:r>
      <w:r w:rsidR="005B2064" w:rsidRPr="00BA5773">
        <w:t>did not reveal the presence of such adduct, due to</w:t>
      </w:r>
      <w:r w:rsidR="0057538A" w:rsidRPr="00BA5773">
        <w:t xml:space="preserve"> the</w:t>
      </w:r>
      <w:r w:rsidR="005B2064" w:rsidRPr="00BA5773">
        <w:t xml:space="preserve"> </w:t>
      </w:r>
      <w:r w:rsidR="00A21B9D" w:rsidRPr="00BA5773">
        <w:t>inherently low</w:t>
      </w:r>
      <w:r w:rsidR="005B2064" w:rsidRPr="00BA5773">
        <w:t xml:space="preserve"> </w:t>
      </w:r>
      <w:r w:rsidRPr="00BA5773">
        <w:t>stability of</w:t>
      </w:r>
      <w:r w:rsidR="005B2064" w:rsidRPr="00BA5773">
        <w:t xml:space="preserve"> </w:t>
      </w:r>
      <w:r w:rsidRPr="00BA5773">
        <w:rPr>
          <w:i/>
          <w:iCs/>
        </w:rPr>
        <w:t>N</w:t>
      </w:r>
      <w:r w:rsidRPr="00BA5773">
        <w:t>-alkoxyamines bearing electron-withdrawing groups</w:t>
      </w:r>
      <w:r w:rsidR="008A5E52" w:rsidRPr="00BA5773">
        <w:t xml:space="preserve"> and their spontaneous reoxidation to •TEMPO</w:t>
      </w:r>
      <w:r w:rsidR="00342F94" w:rsidRPr="00BA5773">
        <w:t xml:space="preserve"> under air.</w:t>
      </w:r>
      <w:r w:rsidR="00620DD5" w:rsidRPr="00BA5773">
        <w:fldChar w:fldCharType="begin" w:fldLock="1"/>
      </w:r>
      <w:r w:rsidR="00B06452" w:rsidRPr="00BA5773">
        <w:instrText>ADDIN CSL_CITATION {"citationItems":[{"id":"ITEM-1","itemData":{"DOI":"10.1002/9780470741962","editor":[{"dropping-particle":"","family":"Rappoport","given":"Zvi","non-dropping-particle":"","parse-names":false,"suffix":""},{"dropping-particle":"","family":"Liebman","given":"J.F.","non-dropping-particle":"","parse-names":false,"suffix":""}],"id":"ITEM-1","issued":{"date-parts":[["2009"]]},"publisher":"John Wiley &amp; Sons, Ltd.","publisher-place":"Chichester, United Kingdom","title":"The Chemistry of Hydroxylamines, Oximes and Hydroxamic Acids","type":"book"},"uris":["http://www.mendeley.com/documents/?uuid=a9f0ffce-9320-4708-bfb6-5812eed5fbec"]},{"id":"ITEM-2","itemData":{"DOI":"10.1021/ma990771r","ISSN":"0024-9297","author":[{"dropping-particle":"","family":"Bon","given":"Stefan A. F.","non-dropping-particle":"","parse-names":false,"suffix":""},{"dropping-particle":"","family":"Chambard","given":"Grégory","non-dropping-particle":"","parse-names":false,"suffix":""},{"dropping-particle":"","family":"German","given":"Anton L.","non-dropping-particle":"","parse-names":false,"suffix":""}],"container-title":"Macromolecules","id":"ITEM-2","issue":"25","issued":{"date-parts":[["1999","12"]]},"page":"8269-8276","title":"Nitroxide-Mediated Living Radical Polymerization: Determination of the Rate Coefficient for Alkoxyamine C−O Bond Homolysis by Quantitative ESR","type":"article-journal","volume":"32"},"uris":["http://www.mendeley.com/documents/?uuid=34c9bec7-c861-4b10-984c-1d02be7fc66f"]},{"id":"ITEM-3","itemData":{"DOI":"10.1021/jo001190z","ISSN":"0022-3263","author":[{"dropping-particle":"","family":"Marque","given":"Sylvain","non-dropping-particle":"","parse-names":false,"suffix":""},{"dropping-particle":"","family":"Fischer","given":"Hanns","non-dropping-particle":"","parse-names":false,"suffix":""},{"dropping-particle":"","family":"Baier","given":"Elisabeth","non-dropping-particle":"","parse-names":false,"suffix":""},{"dropping-particle":"","family":"Studer","given":"Armido","non-dropping-particle":"","parse-names":false,"suffix":""}],"container-title":"The Journal of Organic Chemistry","id":"ITEM-3","issue":"4","issued":{"date-parts":[["2001","2"]]},"page":"1146-1156","title":"Factors Influencing the C−O Bond Homolysis of Alkoxyamines: Effects of H−Bonding and Polar Substituents","type":"article-journal","volume":"66"},"uris":["http://www.mendeley.com/documents/?uuid=47c65df5-cc29-496b-9a51-d24139146c46"]},{"id":"ITEM-4","itemData":{"DOI":"10.1021/ma9918452","ISSN":"00249297","abstract":"Trialkylhydroxylamines and persistent nitroxide radicals are important regulators of living radical polymerizations. Since the polymerization times decrease with increasing rate of the C-O-bond dissociation between the polymer chain and the nitroxide moiety, the factors influencing the homolysis rate constants are of considerable interest. Here, data are presented for 27 model trialkylhydroxylamines in solution containing TMIO, TEMPO, TEDIO, TIPNO, DBNO, SG1, and similar nitroxide groups and primary, secondary and tertiary carbon-centered leaving radicals R. On the average, the frequency factor is A = 2.6 × 1014 s-1, and the activation energies reveal steric effects of both the radical and the nitroxide substituents. Moreover, they increase strongly with increasing C-H-bond energy of the corresponding R-H compounds, and for the same R, decrease in the order TMIO &gt; TEMPO &gt; TIPNO &gt; TEDIO &gt; SG1 ≈ DBNO. The rate constants agree well with data reported for polymerizing systems, and increments are given for radical and nitroxide substitutions which should facilitate predictions for other alkoxyamines.","author":[{"dropping-particle":"","family":"Marque","given":"Sylvain","non-dropping-particle":"","parse-names":false,"suffix":""},{"dropping-particle":"","family":"Mercier","given":"Christophe","non-dropping-particle":"Le","parse-names":false,"suffix":""},{"dropping-particle":"","family":"Tordo","given":"Paul","non-dropping-particle":"","parse-names":false,"suffix":""},{"dropping-particle":"","family":"Fischer","given":"Hanns","non-dropping-particle":"","parse-names":false,"suffix":""}],"container-title":"Macromolecules","id":"ITEM-4","issue":"12","issued":{"date-parts":[["2000"]]},"page":"4403-4410","title":"Factors influencing the C-O-bond homolysis trialkylhydroxylamines","type":"article-journal","volume":"33"},"uris":["http://www.mendeley.com/documents/?uuid=7dc9dcf5-8cd0-4e23-bc22-af9e8ef73072"]},{"id":"ITEM-5","itemData":{"DOI":"10.1002/cphc.200500308","ISSN":"14397641","abstract":"During nitroxide-mediated polymerization (NMP) in the presence of a nitroxide R2(R1)NO•, the reversible formation of N-alkoxyamines [P-ON(R1)R2] reduces significantly the concentration of polymer radicals (P•) and their involvement in termination reactions. The control of the livingness and polydispersity of the resulting polymer depends strongly on the magnitude of the bond dissociation energy (BDE) of the C-ON(R1)R2 bond. In this study, theoretical BDEs of a large series of model N-alkoxyamines are calculated with the PM3 method. In order to provide a predictive tool, correlations between the calculated BDEs and the cleavage temperature (T c), and the dissociation rate constant (kd), of the N-alkoxyamines are established. The homolytic cleavage of the N-OC bond is also investigated at the B3P86/6-311 + + G(d,p)//B3LYP/6-31G(d), level. Furthermore, a natural bond orbital analysis is carried out for some N-alkoxyamines with a O-C-ON(R1)R2 fragment, and the strengthening of their C-ON(R1)R2 bond is interpreted in terms of stabilizing anomeric interactions. © 2006 Wiley-VCH Verlag GmbH &amp; Co. KGaA.","author":[{"dropping-particle":"","family":"Gaudel-Siri","given":"Anouk","non-dropping-particle":"","parse-names":false,"suffix":""},{"dropping-particle":"","family":"Siri","given":"Didier","non-dropping-particle":"","parse-names":false,"suffix":""},{"dropping-particle":"","family":"Tordo","given":"Paul","non-dropping-particle":"","parse-names":false,"suffix":""}],"container-title":"ChemPhysChem","id":"ITEM-5","issue":"2","issued":{"date-parts":[["2006"]]},"page":"430-438","title":"Homolysis of N-alkoxyamines: A computational study","type":"article-journal","volume":"7"},"uris":["http://www.mendeley.com/documents/?uuid=cb9cd576-f533-4aa1-9ce6-ad38b812b534"]},{"id":"ITEM-6","itemData":{"DOI":"10.1021/ja9837102","ISSN":"00027863","abstract":"The carbon-oxygen bond dissociation enthalpies, BDE(C-O), in several N- alkoxyamine derivatives based on 2,2,6,6-tetramethylpiperidine-1-oxyl (TEMPO) have been determined in the liquid phase by photoacoustic calorimetry. The BDE(C-O) and the BDE(C-H) in the corresponding hydrocarbons follow a linear correlation: BDE(C-O) = 1.04BDE(C-H) - 62.1 kcal mol-1. When an electronegative element adjacent to the C-O bond is present, as in tetrahydrofuryl, a substantial deviation from the correlation is noticed. Due to the anomeric interaction the (THF) N-alkoxyamine is stabilized by an additional 14 kcal mol-1. The Arrhenius expression for the homolytic decomposition of methyl-TEMPO in the gas phase obeys k/s-1 = 1015.3 exp(-45.3/RT) to yield a BDE(C-O) of 47 ± 1 kcal mol-1 at 298 K. Furthermore, a high reactivity of TEMPO toward hydrogen donors, 1,4- cyclohexadiene or 9,10-dihydroanthracene, has been observed. Above 380 K, TEMPO is converted into the hydroxyamine 2,2,6,6-tetramethyl-1-piperidinol (TEMPOH) and the amine 2,2,6,6-tetramethylpiperidine (TEMPH). An acid- catalyzed mechanism for TEMPO deoxygenation is proposed.","author":[{"dropping-particle":"","family":"Ciriano","given":"Maria Victoria","non-dropping-particle":"","parse-names":false,"suffix":""},{"dropping-particle":"","family":"Korth","given":"Hans Gert","non-dropping-particle":"","parse-names":false,"suffix":""},{"dropping-particle":"","family":"Scheppingen","given":"Wibo B.","non-dropping-particle":"Van","parse-names":false,"suffix":""},{"dropping-particle":"","family":"Mulder","given":"Peter","non-dropping-particle":"","parse-names":false,"suffix":""}],"container-title":"Journal of the American Chemical Society","id":"ITEM-6","issue":"27","issued":{"date-parts":[["1999"]]},"page":"6375-6381","title":"Thermal stability or 2,2,6,6-tetramethylpiperidine-1-oxyl (TEMPO) and related N-alkoxyamines","type":"article-journal","volume":"121"},"uris":["http://www.mendeley.com/documents/?uuid=37f2c9ba-9688-4a8c-b53c-0b0ab6b2ae57"]},{"id":"ITEM-7","itemData":{"DOI":"https://doi.org/10.1016/j.colsurfa.2010.11.060","ISBN":"0927-7757","abstract":"Stable and uniform starch-stabilized silver nanoparticles with average diameter 14.4±3.3nm are synthesized via green synthetic procedure, using ultrasound mediated reduction of silver nitrate by d-glucose. UV–vis spectroscopy, high-resolution transmission electron microscopy, X-ray diffraction, thermogravimetric/differential thermal analysis and differential scanning calorimetry are used to completely characterize the starch-stabilized silver nanoparticles. These nanoparticles exhibit a catalytic activity in the reduction of hydrogen peroxide (H2O2). The degradation of silver nanoparticles, induced by the catalytic decomposition of hydrogen peroxide, causes a considerable change in the absorbance strength of localized surface plasmon resonance band depending on the H2O2 concentration. The characterization and calibration of improvised plasmon resonance-based optical sensor is carried out. A good sensitivity and a linear response over the wide concentration range of 10−1–10−6mol/L H2O2 is established. The quantification limit of this sensor is found to be 0.9μM H2O2, which is lower than certain enzyme-based biosensors. Therefore, this optical sensor for hydrogen peroxide can be potentially applied in determination of other reactive oxygen species as well.","author":[{"dropping-particle":"","family":"Vasileva","given":"P","non-dropping-particle":"","parse-names":false,"suffix":""},{"dropping-particle":"","family":"Donkova","given":"B","non-dropping-particle":"","parse-names":false,"suffix":""},{"dropping-particle":"","family":"Karadjova","given":"I","non-dropping-particle":"","parse-names":false,"suffix":""},{"dropping-particle":"","family":"Dushkin","given":"C","non-dropping-particle":"","parse-names":false,"suffix":""}],"container-title":"Colloids and Surfaces A: Physicochemical and Engineering Aspects","id":"ITEM-7","issue":"1","issued":{"date-parts":[["2011"]]},"page":"203-210","title":"Synthesis of starch-stabilized silver nanoparticles and their application as a surface plasmon resonance-based sensor of hydrogen peroxide","type":"article-journal","volume":"382"},"uris":["http://www.mendeley.com/documents/?uuid=b006a910-df71-4d16-b9e2-a0bd17c7417f"]}],"mendeley":{"formattedCitation":"&lt;sup&gt;[48–54]&lt;/sup&gt;","plainTextFormattedCitation":"[48–54]","previouslyFormattedCitation":"&lt;sup&gt;[48–54]&lt;/sup&gt;"},"properties":{"noteIndex":0},"schema":"https://github.com/citation-style-language/schema/raw/master/csl-citation.json"}</w:instrText>
      </w:r>
      <w:r w:rsidR="00620DD5" w:rsidRPr="00BA5773">
        <w:fldChar w:fldCharType="separate"/>
      </w:r>
      <w:r w:rsidR="0074268C" w:rsidRPr="00BA5773">
        <w:rPr>
          <w:noProof/>
          <w:vertAlign w:val="superscript"/>
        </w:rPr>
        <w:t>[48–54]</w:t>
      </w:r>
      <w:r w:rsidR="00620DD5" w:rsidRPr="00BA5773">
        <w:fldChar w:fldCharType="end"/>
      </w:r>
      <w:r w:rsidR="00342F94" w:rsidRPr="00BA5773">
        <w:t xml:space="preserve"> </w:t>
      </w:r>
      <w:r w:rsidR="001A4184" w:rsidRPr="00BA5773">
        <w:t xml:space="preserve">Nonetheless, </w:t>
      </w:r>
      <w:r w:rsidR="00342F94" w:rsidRPr="00BA5773">
        <w:t>we were able to</w:t>
      </w:r>
      <w:r w:rsidR="0057538A" w:rsidRPr="00BA5773">
        <w:t xml:space="preserve"> </w:t>
      </w:r>
      <w:r w:rsidR="00342F94" w:rsidRPr="00BA5773">
        <w:t xml:space="preserve">chromatographically </w:t>
      </w:r>
      <w:r w:rsidR="0057538A" w:rsidRPr="00BA5773">
        <w:t xml:space="preserve">isolate </w:t>
      </w:r>
      <w:r w:rsidR="00025F98" w:rsidRPr="00BA5773">
        <w:t xml:space="preserve">a small quantity of a </w:t>
      </w:r>
      <w:r w:rsidR="001E0D70" w:rsidRPr="00BA5773">
        <w:t>semi</w:t>
      </w:r>
      <w:r w:rsidR="0057538A" w:rsidRPr="00BA5773">
        <w:t>-</w:t>
      </w:r>
      <w:r w:rsidR="001E0D70" w:rsidRPr="00BA5773">
        <w:t>stable</w:t>
      </w:r>
      <w:r w:rsidR="00342F94" w:rsidRPr="00BA5773">
        <w:t xml:space="preserve"> product </w:t>
      </w:r>
      <w:r w:rsidR="000A7BC9" w:rsidRPr="00BA5773">
        <w:t>from a large</w:t>
      </w:r>
      <w:r w:rsidR="0057538A" w:rsidRPr="00BA5773">
        <w:t>-</w:t>
      </w:r>
      <w:r w:rsidR="000A7BC9" w:rsidRPr="00BA5773">
        <w:t>scale irradiation experiment under N</w:t>
      </w:r>
      <w:r w:rsidR="000A7BC9" w:rsidRPr="00BA5773">
        <w:rPr>
          <w:vertAlign w:val="subscript"/>
        </w:rPr>
        <w:t>2</w:t>
      </w:r>
      <w:r w:rsidR="000A7BC9" w:rsidRPr="00BA5773">
        <w:t xml:space="preserve"> </w:t>
      </w:r>
      <w:r w:rsidR="00E62750" w:rsidRPr="00BA5773">
        <w:t>(1.4 mg/mL, 22 h</w:t>
      </w:r>
      <w:r w:rsidR="002D6B3C" w:rsidRPr="00BA5773">
        <w:t xml:space="preserve"> irradiation</w:t>
      </w:r>
      <w:r w:rsidR="001F1722" w:rsidRPr="00BA5773">
        <w:t>, CH</w:t>
      </w:r>
      <w:r w:rsidR="001F1722" w:rsidRPr="00BA5773">
        <w:rPr>
          <w:vertAlign w:val="subscript"/>
        </w:rPr>
        <w:t>3</w:t>
      </w:r>
      <w:r w:rsidR="001F1722" w:rsidRPr="00BA5773">
        <w:t>CN</w:t>
      </w:r>
      <w:r w:rsidR="00E62750" w:rsidRPr="00BA5773">
        <w:t xml:space="preserve">) </w:t>
      </w:r>
      <w:r w:rsidR="00342F94" w:rsidRPr="00BA5773">
        <w:t>and analyze it by GC-MS</w:t>
      </w:r>
      <w:r w:rsidR="00664E0A" w:rsidRPr="00BA5773">
        <w:t xml:space="preserve"> in a time sensitive fashion. </w:t>
      </w:r>
      <w:r w:rsidR="00342F94" w:rsidRPr="00BA5773">
        <w:t xml:space="preserve">A comparison between the GC chromatogram of </w:t>
      </w:r>
      <w:r w:rsidR="00342F94" w:rsidRPr="00BA5773">
        <w:rPr>
          <w:b/>
          <w:bCs/>
        </w:rPr>
        <w:t>1</w:t>
      </w:r>
      <w:r w:rsidR="00342F94" w:rsidRPr="00BA5773">
        <w:t xml:space="preserve"> and the </w:t>
      </w:r>
      <w:r w:rsidR="00A82D46" w:rsidRPr="00BA5773">
        <w:t>irradiated mixture</w:t>
      </w:r>
      <w:r w:rsidR="00342F94" w:rsidRPr="00BA5773">
        <w:t xml:space="preserve"> (Figure S</w:t>
      </w:r>
      <w:r w:rsidR="00F81282" w:rsidRPr="00BA5773">
        <w:t>6</w:t>
      </w:r>
      <w:r w:rsidR="00342F94" w:rsidRPr="00BA5773">
        <w:t xml:space="preserve">) reveals that the main </w:t>
      </w:r>
      <w:r w:rsidR="00A82D46" w:rsidRPr="00BA5773">
        <w:t>product</w:t>
      </w:r>
      <w:r w:rsidR="00342F94" w:rsidRPr="00BA5773">
        <w:t xml:space="preserve"> appears at </w:t>
      </w:r>
      <w:r w:rsidR="00310DB5" w:rsidRPr="00BA5773">
        <w:t xml:space="preserve">a </w:t>
      </w:r>
      <w:r w:rsidR="00C41C3F" w:rsidRPr="00BA5773">
        <w:t xml:space="preserve">retention time of </w:t>
      </w:r>
      <w:r w:rsidR="00342F94" w:rsidRPr="00BA5773">
        <w:t>16 minutes</w:t>
      </w:r>
      <w:r w:rsidR="00025F98" w:rsidRPr="00BA5773">
        <w:t>. MS analysis of this peak (Figure S</w:t>
      </w:r>
      <w:r w:rsidR="00F81282" w:rsidRPr="00BA5773">
        <w:t>7</w:t>
      </w:r>
      <w:r w:rsidR="00025F98" w:rsidRPr="00BA5773">
        <w:t xml:space="preserve">) reports a MW of 358 m/z, </w:t>
      </w:r>
      <w:r w:rsidR="001B385B" w:rsidRPr="00BA5773">
        <w:t xml:space="preserve">in agreement with </w:t>
      </w:r>
      <w:r w:rsidR="00C41C3F" w:rsidRPr="00BA5773">
        <w:t xml:space="preserve">the </w:t>
      </w:r>
      <w:r w:rsidR="001B385B" w:rsidRPr="00BA5773">
        <w:t xml:space="preserve">expected </w:t>
      </w:r>
      <w:r w:rsidR="00C41C3F" w:rsidRPr="00BA5773">
        <w:t xml:space="preserve">value </w:t>
      </w:r>
      <w:r w:rsidR="001B385B" w:rsidRPr="00BA5773">
        <w:t>for</w:t>
      </w:r>
      <w:r w:rsidR="00025F98" w:rsidRPr="00BA5773">
        <w:t xml:space="preserve"> </w:t>
      </w:r>
      <w:r w:rsidR="00025F98" w:rsidRPr="00BA5773">
        <w:rPr>
          <w:b/>
          <w:bCs/>
        </w:rPr>
        <w:t>2</w:t>
      </w:r>
      <w:r w:rsidR="00025F98" w:rsidRPr="00BA5773">
        <w:t xml:space="preserve">. </w:t>
      </w:r>
      <w:r w:rsidR="007530BB" w:rsidRPr="00BA5773">
        <w:t xml:space="preserve">Furthermore, </w:t>
      </w:r>
      <w:r w:rsidR="00D67ABB" w:rsidRPr="00BA5773">
        <w:t xml:space="preserve">FTIR-ATR of the </w:t>
      </w:r>
      <w:r w:rsidR="0059506D" w:rsidRPr="00BA5773">
        <w:t xml:space="preserve">irradiated </w:t>
      </w:r>
      <w:r w:rsidR="00D67ABB" w:rsidRPr="00BA5773">
        <w:t xml:space="preserve">solution </w:t>
      </w:r>
      <w:r w:rsidR="00664E0A" w:rsidRPr="00BA5773">
        <w:t xml:space="preserve">also suggests this product to be </w:t>
      </w:r>
      <w:r w:rsidR="001A4184" w:rsidRPr="00BA5773">
        <w:t>hydroxylamine</w:t>
      </w:r>
      <w:r w:rsidR="00D67ABB" w:rsidRPr="00BA5773">
        <w:t xml:space="preserve"> </w:t>
      </w:r>
      <w:r w:rsidR="001A4184" w:rsidRPr="00BA5773">
        <w:rPr>
          <w:b/>
          <w:bCs/>
        </w:rPr>
        <w:t>2</w:t>
      </w:r>
      <w:r w:rsidR="00C41C3F" w:rsidRPr="00BA5773">
        <w:t>, due</w:t>
      </w:r>
      <w:r w:rsidR="00D67ABB" w:rsidRPr="00BA5773">
        <w:t xml:space="preserve"> to the appearance of the O-H stretching vibration at 3250 cm</w:t>
      </w:r>
      <w:r w:rsidR="00D67ABB" w:rsidRPr="00BA5773">
        <w:rPr>
          <w:vertAlign w:val="superscript"/>
        </w:rPr>
        <w:t>-1</w:t>
      </w:r>
      <w:r w:rsidR="002C7C9F" w:rsidRPr="00BA5773">
        <w:t xml:space="preserve"> </w:t>
      </w:r>
      <w:r w:rsidR="002C7C9F" w:rsidRPr="00BA5773">
        <w:rPr>
          <w:szCs w:val="24"/>
        </w:rPr>
        <w:t>(Figure S</w:t>
      </w:r>
      <w:r w:rsidR="00FB7380" w:rsidRPr="00BA5773">
        <w:rPr>
          <w:szCs w:val="24"/>
        </w:rPr>
        <w:t>8</w:t>
      </w:r>
      <w:r w:rsidR="002C7C9F" w:rsidRPr="00BA5773">
        <w:rPr>
          <w:szCs w:val="24"/>
        </w:rPr>
        <w:t>)</w:t>
      </w:r>
      <w:r w:rsidR="002C7C9F" w:rsidRPr="00BA5773">
        <w:t xml:space="preserve">. </w:t>
      </w:r>
      <w:r w:rsidR="00AC1B85" w:rsidRPr="00BA5773">
        <w:t xml:space="preserve">Importantly, </w:t>
      </w:r>
      <w:r w:rsidR="00952A58" w:rsidRPr="00BA5773">
        <w:rPr>
          <w:bCs/>
        </w:rPr>
        <w:t>no</w:t>
      </w:r>
      <w:r w:rsidR="00AC1B85" w:rsidRPr="00BA5773">
        <w:rPr>
          <w:bCs/>
        </w:rPr>
        <w:t xml:space="preserve"> O-H stretching mode could</w:t>
      </w:r>
      <w:r w:rsidR="00BB7595" w:rsidRPr="00BA5773">
        <w:rPr>
          <w:bCs/>
        </w:rPr>
        <w:t xml:space="preserve"> </w:t>
      </w:r>
      <w:r w:rsidR="00AC1B85" w:rsidRPr="00BA5773">
        <w:rPr>
          <w:bCs/>
        </w:rPr>
        <w:t>be</w:t>
      </w:r>
      <w:r w:rsidR="008C3879" w:rsidRPr="00BA5773">
        <w:rPr>
          <w:bCs/>
        </w:rPr>
        <w:t xml:space="preserve"> </w:t>
      </w:r>
      <w:r w:rsidR="00AC1B85" w:rsidRPr="00BA5773">
        <w:rPr>
          <w:bCs/>
        </w:rPr>
        <w:t xml:space="preserve">observed in the FTIR spectrum of compound </w:t>
      </w:r>
      <w:r w:rsidR="00AC1B85" w:rsidRPr="00BA5773">
        <w:rPr>
          <w:b/>
        </w:rPr>
        <w:t>1</w:t>
      </w:r>
      <w:r w:rsidR="00AC1B85" w:rsidRPr="00BA5773">
        <w:rPr>
          <w:bCs/>
        </w:rPr>
        <w:t>, nor in that of the commercial compound 3-</w:t>
      </w:r>
      <w:r w:rsidR="00125EF5" w:rsidRPr="00BA5773">
        <w:rPr>
          <w:bCs/>
        </w:rPr>
        <w:t>h</w:t>
      </w:r>
      <w:r w:rsidR="00AC1B85" w:rsidRPr="00BA5773">
        <w:rPr>
          <w:bCs/>
        </w:rPr>
        <w:t>ydroxy-2-methyl-4-quinolinecarboxylic acid (</w:t>
      </w:r>
      <w:r w:rsidR="00AC1B85" w:rsidRPr="00BA5773">
        <w:rPr>
          <w:b/>
        </w:rPr>
        <w:t>Q</w:t>
      </w:r>
      <w:r w:rsidR="00AC1B85" w:rsidRPr="00BA5773">
        <w:rPr>
          <w:bCs/>
        </w:rPr>
        <w:t>).</w:t>
      </w:r>
      <w:r w:rsidR="00421DD0" w:rsidRPr="00BA5773">
        <w:rPr>
          <w:bCs/>
        </w:rPr>
        <w:t xml:space="preserve"> </w:t>
      </w:r>
      <w:bookmarkStart w:id="7" w:name="_Hlk63762619"/>
      <w:r w:rsidR="00421DD0" w:rsidRPr="00BA5773">
        <w:rPr>
          <w:bCs/>
        </w:rPr>
        <w:t>In C</w:t>
      </w:r>
      <w:r w:rsidR="00421DD0" w:rsidRPr="00BA5773">
        <w:rPr>
          <w:bCs/>
          <w:vertAlign w:val="subscript"/>
        </w:rPr>
        <w:t>6</w:t>
      </w:r>
      <w:r w:rsidR="00421DD0" w:rsidRPr="00BA5773">
        <w:rPr>
          <w:bCs/>
        </w:rPr>
        <w:t>H</w:t>
      </w:r>
      <w:r w:rsidR="00421DD0" w:rsidRPr="00BA5773">
        <w:rPr>
          <w:bCs/>
          <w:vertAlign w:val="subscript"/>
        </w:rPr>
        <w:t>6</w:t>
      </w:r>
      <w:r w:rsidR="00421DD0" w:rsidRPr="00BA5773">
        <w:rPr>
          <w:bCs/>
        </w:rPr>
        <w:t>, under N</w:t>
      </w:r>
      <w:r w:rsidR="00421DD0" w:rsidRPr="00BA5773">
        <w:rPr>
          <w:bCs/>
          <w:vertAlign w:val="subscript"/>
        </w:rPr>
        <w:t>2</w:t>
      </w:r>
      <w:r w:rsidR="00421DD0" w:rsidRPr="00BA5773">
        <w:rPr>
          <w:bCs/>
        </w:rPr>
        <w:t xml:space="preserve"> atmosphere, we recorded a </w:t>
      </w:r>
      <w:r w:rsidR="000D6E27" w:rsidRPr="00BA5773">
        <w:rPr>
          <w:bCs/>
        </w:rPr>
        <w:t>1.95</w:t>
      </w:r>
      <w:r w:rsidR="00421DD0" w:rsidRPr="00BA5773">
        <w:rPr>
          <w:bCs/>
        </w:rPr>
        <w:t xml:space="preserve">-fold </w:t>
      </w:r>
      <w:r w:rsidR="000C0C55" w:rsidRPr="00BA5773">
        <w:rPr>
          <w:bCs/>
        </w:rPr>
        <w:t xml:space="preserve">(average of two trials) </w:t>
      </w:r>
      <w:r w:rsidR="00421DD0" w:rsidRPr="00BA5773">
        <w:rPr>
          <w:bCs/>
        </w:rPr>
        <w:t>increase in the fluorescence</w:t>
      </w:r>
      <w:r w:rsidR="00310DB5" w:rsidRPr="00BA5773">
        <w:rPr>
          <w:bCs/>
        </w:rPr>
        <w:t xml:space="preserve"> after 60 minutes of irradiation</w:t>
      </w:r>
      <w:r w:rsidR="00421DD0" w:rsidRPr="00BA5773">
        <w:rPr>
          <w:bCs/>
        </w:rPr>
        <w:t xml:space="preserve"> (Figure </w:t>
      </w:r>
      <w:r w:rsidR="00421DD0" w:rsidRPr="00BA5773">
        <w:rPr>
          <w:bCs/>
        </w:rPr>
        <w:lastRenderedPageBreak/>
        <w:t>S</w:t>
      </w:r>
      <w:r w:rsidR="00FB7380" w:rsidRPr="00BA5773">
        <w:rPr>
          <w:bCs/>
        </w:rPr>
        <w:t>9</w:t>
      </w:r>
      <w:r w:rsidR="00421DD0" w:rsidRPr="00BA5773">
        <w:rPr>
          <w:bCs/>
        </w:rPr>
        <w:t>).</w:t>
      </w:r>
      <w:r w:rsidR="00501CA4" w:rsidRPr="00BA5773">
        <w:rPr>
          <w:bCs/>
        </w:rPr>
        <w:t xml:space="preserve"> </w:t>
      </w:r>
      <w:bookmarkStart w:id="8" w:name="_Hlk62635124"/>
      <w:r w:rsidR="00501CA4" w:rsidRPr="00BA5773">
        <w:rPr>
          <w:bCs/>
        </w:rPr>
        <w:t xml:space="preserve">Thus, the reaction in </w:t>
      </w:r>
      <w:r w:rsidR="00EF1BB6" w:rsidRPr="00BA5773">
        <w:rPr>
          <w:bCs/>
        </w:rPr>
        <w:t xml:space="preserve">acetonitrile </w:t>
      </w:r>
      <w:r w:rsidR="00501CA4" w:rsidRPr="00BA5773">
        <w:rPr>
          <w:bCs/>
        </w:rPr>
        <w:t>appears to work better than in benzene, even though the latter is normally considered the better hydrogen donor</w:t>
      </w:r>
      <w:r w:rsidR="00322764" w:rsidRPr="00BA5773">
        <w:rPr>
          <w:bCs/>
        </w:rPr>
        <w:t xml:space="preserve"> due to </w:t>
      </w:r>
      <w:r w:rsidR="00936C96" w:rsidRPr="00BA5773">
        <w:rPr>
          <w:bCs/>
        </w:rPr>
        <w:t>its</w:t>
      </w:r>
      <w:r w:rsidR="00322764" w:rsidRPr="00BA5773">
        <w:rPr>
          <w:bCs/>
        </w:rPr>
        <w:t xml:space="preserve"> lower bond dissociation energy for the homolytic cleavage of the C-H bond.</w:t>
      </w:r>
      <w:r w:rsidR="00B06452" w:rsidRPr="00BA5773">
        <w:rPr>
          <w:bCs/>
        </w:rPr>
        <w:fldChar w:fldCharType="begin" w:fldLock="1"/>
      </w:r>
      <w:r w:rsidR="008C1A97" w:rsidRPr="00BA5773">
        <w:rPr>
          <w:bCs/>
        </w:rPr>
        <w:instrText>ADDIN CSL_CITATION {"citationItems":[{"id":"ITEM-1","itemData":{"ISBN":"9780367417246","edition":"101st","editor":[{"dropping-particle":"","family":"Rumble","given":"John","non-dropping-particle":"","parse-names":false,"suffix":""}],"id":"ITEM-1","issued":{"date-parts":[["2020"]]},"publisher":"CRC Press, Taylor &amp; Francis","publisher-place":"Boca Raton, FL","title":"CRC Handbook of Chemistry and Physics","type":"book"},"uris":["http://www.mendeley.com/documents/?uuid=4656dfb0-8a71-40bb-a239-dd5575c8c31a"]}],"mendeley":{"formattedCitation":"&lt;sup&gt;[55]&lt;/sup&gt;","plainTextFormattedCitation":"[55]","previouslyFormattedCitation":"&lt;sup&gt;[55]&lt;/sup&gt;"},"properties":{"noteIndex":0},"schema":"https://github.com/citation-style-language/schema/raw/master/csl-citation.json"}</w:instrText>
      </w:r>
      <w:r w:rsidR="00B06452" w:rsidRPr="00BA5773">
        <w:rPr>
          <w:bCs/>
        </w:rPr>
        <w:fldChar w:fldCharType="separate"/>
      </w:r>
      <w:r w:rsidR="00B06452" w:rsidRPr="00BA5773">
        <w:rPr>
          <w:bCs/>
          <w:noProof/>
          <w:vertAlign w:val="superscript"/>
        </w:rPr>
        <w:t>[55]</w:t>
      </w:r>
      <w:r w:rsidR="00B06452" w:rsidRPr="00BA5773">
        <w:rPr>
          <w:bCs/>
        </w:rPr>
        <w:fldChar w:fldCharType="end"/>
      </w:r>
      <w:r w:rsidR="00526F4A" w:rsidRPr="00BA5773">
        <w:rPr>
          <w:bCs/>
        </w:rPr>
        <w:t xml:space="preserve"> This is not without precedent: Johnston </w:t>
      </w:r>
      <w:r w:rsidR="00526F4A" w:rsidRPr="00BA5773">
        <w:rPr>
          <w:bCs/>
          <w:i/>
          <w:iCs/>
        </w:rPr>
        <w:t>et al.</w:t>
      </w:r>
      <w:r w:rsidR="00526F4A" w:rsidRPr="00BA5773">
        <w:rPr>
          <w:bCs/>
        </w:rPr>
        <w:t xml:space="preserve"> also noted that the quantum yield for the production of TEMPO-H (obtained by irradiating TEMPO with a Xe lamp) in acetonitrile was higher than in toluene.</w:t>
      </w:r>
      <w:bookmarkStart w:id="9" w:name="_Hlk63762687"/>
      <w:r w:rsidR="008C1A97" w:rsidRPr="00BA5773">
        <w:rPr>
          <w:bCs/>
        </w:rPr>
        <w:fldChar w:fldCharType="begin" w:fldLock="1"/>
      </w:r>
      <w:r w:rsidR="00C3401C" w:rsidRPr="00BA5773">
        <w:rPr>
          <w:bCs/>
        </w:rPr>
        <w:instrText>ADDIN CSL_CITATION {"citationItems":[{"id":"ITEM-1","itemData":{"DOI":"10.1021/jo00364a036","ISSN":"15206904","abstract":"There have been several reports on the photochemistry of stable nitroxide free radicals. Two types of reactivity have been observed: (i) cleavage of one of the C–N bonds and (ii) hydrogen abstraction by an excited nitroxide. The former is the mechanism in the case of di-tert-butyl nitroxide which yields 2-methyl-2-nitrosopropane and tert-butyl radical which is then scavenged by a second nitroxide molecule. In the case of cyclic nitroxide, 3-carbamoyl-2,2,5,5-tetramethylpyrroline-1-oxyl, α-cleavage is followed by loss of nitric oxide to yield a diene as product. The abstraction mechanism (ii) has been observed in systems such as 4-hydroxy-2,2,6,6-tetramethylpiperidine-N-oxyl6 and a steroid nitroxide. © 1986, American Chemical Society. All rights reserved.","author":[{"dropping-particle":"","family":"Johnston","given":"Linda J.","non-dropping-particle":"","parse-names":false,"suffix":""},{"dropping-particle":"","family":"Tencer","given":"Michal","non-dropping-particle":"","parse-names":false,"suffix":""},{"dropping-particle":"","family":"Scaiano","given":"J. C.","non-dropping-particle":"","parse-names":false,"suffix":""}],"container-title":"Journal of Organic Chemistry","id":"ITEM-1","issue":"14","issued":{"date-parts":[["1986"]]},"page":"2806-2808","title":"Evidence for Hydrogen Transfer in the Photochemistry of 2,2,6,6-Tetramethylpiperidine-N-oxyl","type":"article-journal","volume":"51"},"uris":["http://www.mendeley.com/documents/?uuid=50e55343-270a-46cd-91d0-733a3f131ed2"]}],"mendeley":{"formattedCitation":"&lt;sup&gt;[28]&lt;/sup&gt;","plainTextFormattedCitation":"[28]","previouslyFormattedCitation":"&lt;sup&gt;[28]&lt;/sup&gt;"},"properties":{"noteIndex":0},"schema":"https://github.com/citation-style-language/schema/raw/master/csl-citation.json"}</w:instrText>
      </w:r>
      <w:r w:rsidR="008C1A97" w:rsidRPr="00BA5773">
        <w:rPr>
          <w:bCs/>
        </w:rPr>
        <w:fldChar w:fldCharType="separate"/>
      </w:r>
      <w:r w:rsidR="008C1A97" w:rsidRPr="00BA5773">
        <w:rPr>
          <w:bCs/>
          <w:noProof/>
          <w:vertAlign w:val="superscript"/>
        </w:rPr>
        <w:t>[28]</w:t>
      </w:r>
      <w:r w:rsidR="008C1A97" w:rsidRPr="00BA5773">
        <w:rPr>
          <w:bCs/>
        </w:rPr>
        <w:fldChar w:fldCharType="end"/>
      </w:r>
      <w:bookmarkEnd w:id="9"/>
      <w:r w:rsidR="00526F4A" w:rsidRPr="00BA5773">
        <w:rPr>
          <w:bCs/>
        </w:rPr>
        <w:t xml:space="preserve"> In that instance, charge transfer was hypothesized to play a role. In our case, where a quinoline chromophore has been tethered to TEMPO, we speculate that this behaviour is due to a marginally shorter excited state lifetime of </w:t>
      </w:r>
      <w:r w:rsidR="00526F4A" w:rsidRPr="00BA5773">
        <w:rPr>
          <w:b/>
        </w:rPr>
        <w:t>Q</w:t>
      </w:r>
      <w:r w:rsidR="00526F4A" w:rsidRPr="00BA5773">
        <w:rPr>
          <w:bCs/>
        </w:rPr>
        <w:t xml:space="preserve"> in C</w:t>
      </w:r>
      <w:r w:rsidR="00526F4A" w:rsidRPr="00BA5773">
        <w:rPr>
          <w:bCs/>
          <w:vertAlign w:val="subscript"/>
        </w:rPr>
        <w:t>6</w:t>
      </w:r>
      <w:r w:rsidR="00526F4A" w:rsidRPr="00BA5773">
        <w:rPr>
          <w:bCs/>
        </w:rPr>
        <w:t>H</w:t>
      </w:r>
      <w:r w:rsidR="00526F4A" w:rsidRPr="00BA5773">
        <w:rPr>
          <w:bCs/>
          <w:vertAlign w:val="subscript"/>
        </w:rPr>
        <w:t>6</w:t>
      </w:r>
      <w:r w:rsidR="00526F4A" w:rsidRPr="00BA5773">
        <w:rPr>
          <w:bCs/>
        </w:rPr>
        <w:t xml:space="preserve">. A reduction in the excited state lifetime would, in fact, decrease the likelihood of energy transfer from the chromophore to TEMPO (consequently reducing product formation) even though the rate of hydrogen abstraction from benzene is similar or greater than that in acetonitrile. Indeed, the integrated emission intensity of the model compound </w:t>
      </w:r>
      <w:r w:rsidR="00526F4A" w:rsidRPr="00BA5773">
        <w:rPr>
          <w:b/>
        </w:rPr>
        <w:t>4</w:t>
      </w:r>
      <w:r w:rsidR="00526F4A" w:rsidRPr="00BA5773">
        <w:rPr>
          <w:bCs/>
        </w:rPr>
        <w:t xml:space="preserve"> at equimolar quantum yield concentrations is lower in C</w:t>
      </w:r>
      <w:r w:rsidR="00526F4A" w:rsidRPr="00BA5773">
        <w:rPr>
          <w:bCs/>
          <w:vertAlign w:val="subscript"/>
        </w:rPr>
        <w:t>6</w:t>
      </w:r>
      <w:r w:rsidR="00526F4A" w:rsidRPr="00BA5773">
        <w:rPr>
          <w:bCs/>
        </w:rPr>
        <w:t>H</w:t>
      </w:r>
      <w:r w:rsidR="00526F4A" w:rsidRPr="00BA5773">
        <w:rPr>
          <w:bCs/>
          <w:vertAlign w:val="subscript"/>
        </w:rPr>
        <w:t>6</w:t>
      </w:r>
      <w:r w:rsidR="00526F4A" w:rsidRPr="00BA5773">
        <w:rPr>
          <w:bCs/>
        </w:rPr>
        <w:t xml:space="preserve"> than in CH</w:t>
      </w:r>
      <w:r w:rsidR="00526F4A" w:rsidRPr="00BA5773">
        <w:rPr>
          <w:bCs/>
          <w:vertAlign w:val="subscript"/>
        </w:rPr>
        <w:t>3</w:t>
      </w:r>
      <w:r w:rsidR="00526F4A" w:rsidRPr="00BA5773">
        <w:rPr>
          <w:bCs/>
        </w:rPr>
        <w:t>CN (Figure S10)</w:t>
      </w:r>
      <w:r w:rsidR="008C1A97" w:rsidRPr="00BA5773">
        <w:rPr>
          <w:bCs/>
        </w:rPr>
        <w:t xml:space="preserve">. </w:t>
      </w:r>
      <w:bookmarkEnd w:id="7"/>
      <w:bookmarkEnd w:id="8"/>
    </w:p>
    <w:p w14:paraId="3773411B" w14:textId="36928934" w:rsidR="0065601E" w:rsidRPr="00BA5773" w:rsidRDefault="00B91C6C" w:rsidP="00095CE4">
      <w:pPr>
        <w:spacing w:before="0" w:afterLines="120" w:after="288" w:line="360" w:lineRule="auto"/>
        <w:ind w:firstLine="567"/>
        <w:jc w:val="both"/>
      </w:pPr>
      <w:r w:rsidRPr="00BA5773">
        <w:rPr>
          <w:rFonts w:cs="Times New Roman"/>
          <w:lang w:eastAsia="en-CA"/>
        </w:rPr>
        <w:t>Critically, it has been observed that t</w:t>
      </w:r>
      <w:r w:rsidR="007A590A" w:rsidRPr="00BA5773">
        <w:t xml:space="preserve">he O-H bond in the hydrogenated derivative </w:t>
      </w:r>
      <w:r w:rsidRPr="00BA5773">
        <w:rPr>
          <w:b/>
          <w:bCs/>
        </w:rPr>
        <w:t xml:space="preserve">2 </w:t>
      </w:r>
      <w:r w:rsidR="007A590A" w:rsidRPr="00BA5773">
        <w:t>is weak</w:t>
      </w:r>
      <w:r w:rsidR="00072A36" w:rsidRPr="00BA5773">
        <w:t xml:space="preserve">, and </w:t>
      </w:r>
      <w:r w:rsidR="007A590A" w:rsidRPr="00BA5773">
        <w:t xml:space="preserve">nitroxides </w:t>
      </w:r>
      <w:r w:rsidR="00072A36" w:rsidRPr="00BA5773">
        <w:t>can</w:t>
      </w:r>
      <w:r w:rsidR="007A590A" w:rsidRPr="00BA5773">
        <w:t xml:space="preserve"> commonly </w:t>
      </w:r>
      <w:r w:rsidR="00072A36" w:rsidRPr="00BA5773">
        <w:t>re</w:t>
      </w:r>
      <w:r w:rsidR="007A590A" w:rsidRPr="00BA5773">
        <w:t xml:space="preserve">form by </w:t>
      </w:r>
      <w:r w:rsidR="00072A36" w:rsidRPr="00BA5773">
        <w:t>simple exposure</w:t>
      </w:r>
      <w:r w:rsidR="007A590A" w:rsidRPr="00BA5773">
        <w:t xml:space="preserve"> of their corresponding hydroxylamines </w:t>
      </w:r>
      <w:r w:rsidR="00072A36" w:rsidRPr="00BA5773">
        <w:t>to</w:t>
      </w:r>
      <w:r w:rsidR="007A590A" w:rsidRPr="00BA5773">
        <w:t xml:space="preserve"> mild oxidants</w:t>
      </w:r>
      <w:r w:rsidR="00072A36" w:rsidRPr="00BA5773">
        <w:t xml:space="preserve">, </w:t>
      </w:r>
      <w:r w:rsidR="007A590A" w:rsidRPr="00BA5773">
        <w:t xml:space="preserve">including </w:t>
      </w:r>
      <w:r w:rsidR="00072A36" w:rsidRPr="00BA5773">
        <w:t xml:space="preserve">air and </w:t>
      </w:r>
      <w:r w:rsidR="007A590A" w:rsidRPr="00BA5773">
        <w:t>molecular oxygen</w:t>
      </w:r>
      <w:r w:rsidR="00072A36" w:rsidRPr="00BA5773">
        <w:t>,</w:t>
      </w:r>
      <w:r w:rsidR="007A590A" w:rsidRPr="00BA5773">
        <w:t xml:space="preserve"> even in the absence of a catalyst.</w:t>
      </w:r>
      <w:r w:rsidR="00016F2C" w:rsidRPr="00BA5773">
        <w:fldChar w:fldCharType="begin" w:fldLock="1"/>
      </w:r>
      <w:r w:rsidR="008C1A97" w:rsidRPr="00BA5773">
        <w:instrText>ADDIN CSL_CITATION {"citationItems":[{"id":"ITEM-1","itemData":{"DOI":"10.1002/9780470741962","editor":[{"dropping-particle":"","family":"Rappoport","given":"Zvi","non-dropping-particle":"","parse-names":false,"suffix":""},{"dropping-particle":"","family":"Liebman","given":"J.F.","non-dropping-particle":"","parse-names":false,"suffix":""}],"id":"ITEM-1","issued":{"date-parts":[["2009"]]},"publisher":"John Wiley &amp; Sons, Ltd.","publisher-place":"Chichester, United Kingdom","title":"The Chemistry of Hydroxylamines, Oximes and Hydroxamic Acids","type":"book"},"uris":["http://www.mendeley.com/documents/?uuid=a9f0ffce-9320-4708-bfb6-5812eed5fbec"]},{"id":"ITEM-2","itemData":{"DOI":"10.1021/jo1021794","ISSN":"00223263","abstract":"Differences in O-H bond dissociation enthalpies (δBDEs) between the hydroxylamine of 15N-labeled TEMPONE and 10 N,N-di-tert-alkyl hydroxylamines were determined by EPR. These δBDEs, together with the g and aN values of the derived nitroxide radicals, are discussed in relation to various geometric, intramolecular dipole/dipole, and steric effects and in relation to the results from DFT calculations. We find that dipole/dipole interactions are the dominant factors in dictating aN values and O-H BDEs in all of these structurally similar nitroxides and hydroxylamines, respectively. The importance of including the Boltzmann distribution of conformations for each nitroxide in the aN calculations is emphasized. © 2010 American Chemical Society.","author":[{"dropping-particle":"","family":"Billone","given":"Paul S.","non-dropping-particle":"","parse-names":false,"suffix":""},{"dropping-particle":"","family":"Johnson","given":"Paul A.","non-dropping-particle":"","parse-names":false,"suffix":""},{"dropping-particle":"","family":"Lin","given":"Shuqiong","non-dropping-particle":"","parse-names":false,"suffix":""},{"dropping-particle":"","family":"Scaiano","given":"J. C.","non-dropping-particle":"","parse-names":false,"suffix":""},{"dropping-particle":"","family":"Dilabio","given":"Gino A.","non-dropping-particle":"","parse-names":false,"suffix":""},{"dropping-particle":"","family":"Ingold","given":"K. U.","non-dropping-particle":"","parse-names":false,"suffix":""}],"container-title":"Journal of Organic Chemistry","id":"ITEM-2","issue":"2","issued":{"date-parts":[["2011"]]},"page":"631-636","title":"Accurate O-H bond dissociation energy differences of hydroxylamines determined by EPR spectroscopy: Computational insight into stereoelectronic effects on BDEs and EPR spectral parameters","type":"article-journal","volume":"76"},"uris":["http://www.mendeley.com/documents/?uuid=c5d6c417-003e-49fc-a68c-01320a8e3de9"]}],"mendeley":{"formattedCitation":"&lt;sup&gt;[48,56]&lt;/sup&gt;","plainTextFormattedCitation":"[48,56]","previouslyFormattedCitation":"&lt;sup&gt;[48,56]&lt;/sup&gt;"},"properties":{"noteIndex":0},"schema":"https://github.com/citation-style-language/schema/raw/master/csl-citation.json"}</w:instrText>
      </w:r>
      <w:r w:rsidR="00016F2C" w:rsidRPr="00BA5773">
        <w:fldChar w:fldCharType="separate"/>
      </w:r>
      <w:r w:rsidR="00B06452" w:rsidRPr="00BA5773">
        <w:rPr>
          <w:noProof/>
          <w:vertAlign w:val="superscript"/>
        </w:rPr>
        <w:t>[48,56]</w:t>
      </w:r>
      <w:r w:rsidR="00016F2C" w:rsidRPr="00BA5773">
        <w:fldChar w:fldCharType="end"/>
      </w:r>
      <w:r w:rsidR="00072A36" w:rsidRPr="00BA5773">
        <w:t xml:space="preserve"> </w:t>
      </w:r>
      <w:r w:rsidR="00072A36" w:rsidRPr="00BA5773">
        <w:rPr>
          <w:rFonts w:cs="Times New Roman"/>
          <w:shd w:val="clear" w:color="auto" w:fill="FFFFFF"/>
        </w:rPr>
        <w:t xml:space="preserve">To investigate the relative stability of the species photogenerated herein, the degassed solution of </w:t>
      </w:r>
      <w:r w:rsidR="00072A36" w:rsidRPr="00BA5773">
        <w:rPr>
          <w:rFonts w:cs="Times New Roman"/>
          <w:b/>
          <w:bCs/>
          <w:shd w:val="clear" w:color="auto" w:fill="FFFFFF"/>
        </w:rPr>
        <w:t>1</w:t>
      </w:r>
      <w:r w:rsidR="00C41C3F" w:rsidRPr="00BA5773">
        <w:rPr>
          <w:rFonts w:cs="Times New Roman"/>
          <w:shd w:val="clear" w:color="auto" w:fill="FFFFFF"/>
        </w:rPr>
        <w:t xml:space="preserve"> </w:t>
      </w:r>
      <w:r w:rsidR="00072A36" w:rsidRPr="00BA5773">
        <w:rPr>
          <w:rFonts w:cs="Times New Roman"/>
          <w:shd w:val="clear" w:color="auto" w:fill="FFFFFF"/>
        </w:rPr>
        <w:t>irradiated with ultraviolet light</w:t>
      </w:r>
      <w:r w:rsidR="00C41C3F" w:rsidRPr="00BA5773">
        <w:rPr>
          <w:rFonts w:cs="Times New Roman"/>
          <w:shd w:val="clear" w:color="auto" w:fill="FFFFFF"/>
        </w:rPr>
        <w:t xml:space="preserve"> (Figure </w:t>
      </w:r>
      <w:r w:rsidR="00D932DE" w:rsidRPr="00BA5773">
        <w:rPr>
          <w:rFonts w:cs="Times New Roman"/>
          <w:shd w:val="clear" w:color="auto" w:fill="FFFFFF"/>
        </w:rPr>
        <w:t>1</w:t>
      </w:r>
      <w:r w:rsidR="00C41C3F" w:rsidRPr="00BA5773">
        <w:rPr>
          <w:rFonts w:cs="Times New Roman"/>
          <w:shd w:val="clear" w:color="auto" w:fill="FFFFFF"/>
        </w:rPr>
        <w:t>)</w:t>
      </w:r>
      <w:r w:rsidR="00072A36" w:rsidRPr="00BA5773">
        <w:rPr>
          <w:rFonts w:cs="Times New Roman"/>
          <w:shd w:val="clear" w:color="auto" w:fill="FFFFFF"/>
        </w:rPr>
        <w:t xml:space="preserve"> was capped to avoid evaporation of the solvent</w:t>
      </w:r>
      <w:r w:rsidR="0086146C" w:rsidRPr="00BA5773">
        <w:rPr>
          <w:rFonts w:cs="Times New Roman"/>
          <w:shd w:val="clear" w:color="auto" w:fill="FFFFFF"/>
        </w:rPr>
        <w:t xml:space="preserve"> and </w:t>
      </w:r>
      <w:r w:rsidR="00425A88" w:rsidRPr="00BA5773">
        <w:rPr>
          <w:rFonts w:cs="Times New Roman"/>
          <w:shd w:val="clear" w:color="auto" w:fill="FFFFFF"/>
        </w:rPr>
        <w:t xml:space="preserve">maintain </w:t>
      </w:r>
      <w:r w:rsidR="0086146C" w:rsidRPr="00BA5773">
        <w:rPr>
          <w:rFonts w:cs="Times New Roman"/>
          <w:shd w:val="clear" w:color="auto" w:fill="FFFFFF"/>
        </w:rPr>
        <w:t>controlled atmosphere</w:t>
      </w:r>
      <w:r w:rsidR="00072A36" w:rsidRPr="00BA5773">
        <w:rPr>
          <w:rFonts w:cs="Times New Roman"/>
          <w:shd w:val="clear" w:color="auto" w:fill="FFFFFF"/>
        </w:rPr>
        <w:t xml:space="preserve">. Emission spectra were then recorded over the course of </w:t>
      </w:r>
      <w:r w:rsidR="00EE4451" w:rsidRPr="00BA5773">
        <w:rPr>
          <w:rFonts w:cs="Times New Roman"/>
          <w:shd w:val="clear" w:color="auto" w:fill="FFFFFF"/>
        </w:rPr>
        <w:t>12 hours i</w:t>
      </w:r>
      <w:r w:rsidR="00072A36" w:rsidRPr="00BA5773">
        <w:rPr>
          <w:rFonts w:cs="Times New Roman"/>
          <w:shd w:val="clear" w:color="auto" w:fill="FFFFFF"/>
        </w:rPr>
        <w:t>n otherwise identical conditions. Results (Figure S</w:t>
      </w:r>
      <w:r w:rsidR="001A2340" w:rsidRPr="00BA5773">
        <w:rPr>
          <w:rFonts w:cs="Times New Roman"/>
          <w:shd w:val="clear" w:color="auto" w:fill="FFFFFF"/>
        </w:rPr>
        <w:t>1</w:t>
      </w:r>
      <w:r w:rsidR="008C1A97" w:rsidRPr="00BA5773">
        <w:rPr>
          <w:rFonts w:cs="Times New Roman"/>
          <w:shd w:val="clear" w:color="auto" w:fill="FFFFFF"/>
        </w:rPr>
        <w:t>1</w:t>
      </w:r>
      <w:r w:rsidR="00072A36" w:rsidRPr="00BA5773">
        <w:rPr>
          <w:rFonts w:cs="Times New Roman"/>
          <w:shd w:val="clear" w:color="auto" w:fill="FFFFFF"/>
        </w:rPr>
        <w:t xml:space="preserve">) show that the fluorescence intensity post-activation </w:t>
      </w:r>
      <w:r w:rsidR="00EE4451" w:rsidRPr="00BA5773">
        <w:rPr>
          <w:rFonts w:cs="Times New Roman"/>
          <w:shd w:val="clear" w:color="auto" w:fill="FFFFFF"/>
        </w:rPr>
        <w:t xml:space="preserve">remains constant under controlled atmosphere, </w:t>
      </w:r>
      <w:r w:rsidR="00072A36" w:rsidRPr="00BA5773">
        <w:rPr>
          <w:rFonts w:cs="Times New Roman"/>
          <w:shd w:val="clear" w:color="auto" w:fill="FFFFFF"/>
        </w:rPr>
        <w:t xml:space="preserve">suggesting that </w:t>
      </w:r>
      <w:r w:rsidR="00072A36" w:rsidRPr="00BA5773">
        <w:rPr>
          <w:rFonts w:cs="Times New Roman"/>
          <w:b/>
          <w:bCs/>
          <w:shd w:val="clear" w:color="auto" w:fill="FFFFFF"/>
        </w:rPr>
        <w:t>2</w:t>
      </w:r>
      <w:r w:rsidR="00072A36" w:rsidRPr="00BA5773">
        <w:rPr>
          <w:rFonts w:cs="Times New Roman"/>
          <w:shd w:val="clear" w:color="auto" w:fill="FFFFFF"/>
        </w:rPr>
        <w:t xml:space="preserve"> is </w:t>
      </w:r>
      <w:r w:rsidR="00EE4451" w:rsidRPr="00BA5773">
        <w:rPr>
          <w:rFonts w:cs="Times New Roman"/>
          <w:shd w:val="clear" w:color="auto" w:fill="FFFFFF"/>
        </w:rPr>
        <w:t>stable in the absence of air</w:t>
      </w:r>
      <w:r w:rsidR="00E87655" w:rsidRPr="00BA5773">
        <w:rPr>
          <w:rFonts w:cs="Times New Roman"/>
          <w:shd w:val="clear" w:color="auto" w:fill="FFFFFF"/>
        </w:rPr>
        <w:t>.</w:t>
      </w:r>
      <w:r w:rsidR="0086146C" w:rsidRPr="00BA5773">
        <w:rPr>
          <w:rFonts w:cs="Times New Roman"/>
          <w:shd w:val="clear" w:color="auto" w:fill="FFFFFF"/>
        </w:rPr>
        <w:t xml:space="preserve"> On the contrary, a solution that was activated under N</w:t>
      </w:r>
      <w:r w:rsidR="0086146C" w:rsidRPr="00BA5773">
        <w:rPr>
          <w:rFonts w:cs="Times New Roman"/>
          <w:shd w:val="clear" w:color="auto" w:fill="FFFFFF"/>
          <w:vertAlign w:val="subscript"/>
        </w:rPr>
        <w:t>2</w:t>
      </w:r>
      <w:r w:rsidR="0086146C" w:rsidRPr="00BA5773">
        <w:rPr>
          <w:rFonts w:cs="Times New Roman"/>
          <w:shd w:val="clear" w:color="auto" w:fill="FFFFFF"/>
        </w:rPr>
        <w:t xml:space="preserve"> but later exposed to oxygen shows </w:t>
      </w:r>
      <w:r w:rsidR="004C78A3" w:rsidRPr="00BA5773">
        <w:rPr>
          <w:rFonts w:cs="Times New Roman"/>
          <w:shd w:val="clear" w:color="auto" w:fill="FFFFFF"/>
        </w:rPr>
        <w:t xml:space="preserve">a slow but steady </w:t>
      </w:r>
      <w:r w:rsidR="0086146C" w:rsidRPr="00BA5773">
        <w:rPr>
          <w:rFonts w:cs="Times New Roman"/>
          <w:shd w:val="clear" w:color="auto" w:fill="FFFFFF"/>
        </w:rPr>
        <w:t xml:space="preserve">decrease in the emission intensity, </w:t>
      </w:r>
      <w:r w:rsidR="004C78A3" w:rsidRPr="00BA5773">
        <w:rPr>
          <w:rFonts w:cs="Times New Roman"/>
          <w:shd w:val="clear" w:color="auto" w:fill="FFFFFF"/>
        </w:rPr>
        <w:t xml:space="preserve">consistent with the progressive decomposition of </w:t>
      </w:r>
      <w:r w:rsidR="004C78A3" w:rsidRPr="00BA5773">
        <w:rPr>
          <w:rFonts w:cs="Times New Roman"/>
          <w:b/>
          <w:bCs/>
          <w:shd w:val="clear" w:color="auto" w:fill="FFFFFF"/>
        </w:rPr>
        <w:t>2</w:t>
      </w:r>
      <w:r w:rsidR="004C78A3" w:rsidRPr="00BA5773">
        <w:rPr>
          <w:rFonts w:cs="Times New Roman"/>
          <w:shd w:val="clear" w:color="auto" w:fill="FFFFFF"/>
        </w:rPr>
        <w:t xml:space="preserve">. </w:t>
      </w:r>
    </w:p>
    <w:p w14:paraId="60E72F9A" w14:textId="3F0D1B3C" w:rsidR="00027A44" w:rsidRPr="00BA5773" w:rsidRDefault="00B72385" w:rsidP="00695CAF">
      <w:pPr>
        <w:spacing w:beforeLines="120" w:before="288" w:afterLines="120" w:after="288" w:line="360" w:lineRule="auto"/>
        <w:jc w:val="both"/>
        <w:rPr>
          <w:sz w:val="22"/>
          <w:szCs w:val="20"/>
        </w:rPr>
      </w:pPr>
      <w:r w:rsidRPr="00BA5773">
        <w:rPr>
          <w:b/>
          <w:bCs/>
          <w:szCs w:val="24"/>
        </w:rPr>
        <w:t>Photochemistry</w:t>
      </w:r>
      <w:r w:rsidR="0065601E" w:rsidRPr="00BA5773">
        <w:rPr>
          <w:b/>
          <w:bCs/>
          <w:szCs w:val="24"/>
        </w:rPr>
        <w:t xml:space="preserve"> of 1 in PMMA/CH</w:t>
      </w:r>
      <w:r w:rsidR="0065601E" w:rsidRPr="00BA5773">
        <w:rPr>
          <w:b/>
          <w:bCs/>
          <w:szCs w:val="24"/>
          <w:vertAlign w:val="subscript"/>
        </w:rPr>
        <w:t>3</w:t>
      </w:r>
      <w:r w:rsidR="0065601E" w:rsidRPr="00BA5773">
        <w:rPr>
          <w:b/>
          <w:bCs/>
          <w:szCs w:val="24"/>
        </w:rPr>
        <w:t>CN</w:t>
      </w:r>
    </w:p>
    <w:p w14:paraId="49F78616" w14:textId="63A5E2BF" w:rsidR="00A93268" w:rsidRDefault="00F84E6B" w:rsidP="004B452B">
      <w:pPr>
        <w:spacing w:beforeLines="120" w:before="288" w:afterLines="120" w:after="288" w:line="360" w:lineRule="auto"/>
        <w:ind w:firstLine="567"/>
        <w:jc w:val="both"/>
      </w:pPr>
      <w:r w:rsidRPr="00BA5773">
        <w:t xml:space="preserve">The spectroscopic </w:t>
      </w:r>
      <w:r w:rsidR="00F70ADF" w:rsidRPr="00BA5773">
        <w:t xml:space="preserve">behaviour of </w:t>
      </w:r>
      <w:r w:rsidR="00F70ADF" w:rsidRPr="00BA5773">
        <w:rPr>
          <w:b/>
          <w:bCs/>
        </w:rPr>
        <w:t>1</w:t>
      </w:r>
      <w:r w:rsidR="00F70ADF" w:rsidRPr="00BA5773">
        <w:t xml:space="preserve"> is </w:t>
      </w:r>
      <w:r w:rsidR="00A523D3" w:rsidRPr="00BA5773">
        <w:t xml:space="preserve">considerably </w:t>
      </w:r>
      <w:r w:rsidR="00A60631" w:rsidRPr="00BA5773">
        <w:t>altered</w:t>
      </w:r>
      <w:r w:rsidR="00A523D3" w:rsidRPr="00BA5773">
        <w:t xml:space="preserve"> </w:t>
      </w:r>
      <w:r w:rsidRPr="00BA5773">
        <w:t>in a 5% poly</w:t>
      </w:r>
      <w:r w:rsidR="004D3ED0" w:rsidRPr="00BA5773">
        <w:t>(methyl methacrylate) (PMMA) solution in CH</w:t>
      </w:r>
      <w:r w:rsidR="004D3ED0" w:rsidRPr="00BA5773">
        <w:rPr>
          <w:vertAlign w:val="subscript"/>
        </w:rPr>
        <w:t>3</w:t>
      </w:r>
      <w:r w:rsidR="004D3ED0" w:rsidRPr="00BA5773">
        <w:t>CN</w:t>
      </w:r>
      <w:r w:rsidR="00F70ADF" w:rsidRPr="00BA5773">
        <w:t xml:space="preserve"> (Figure </w:t>
      </w:r>
      <w:r w:rsidR="00D932DE" w:rsidRPr="00BA5773">
        <w:t>2</w:t>
      </w:r>
      <w:r w:rsidR="00F70ADF" w:rsidRPr="00BA5773">
        <w:t>)</w:t>
      </w:r>
      <w:r w:rsidR="004D3ED0" w:rsidRPr="00BA5773">
        <w:t>.</w:t>
      </w:r>
      <w:r w:rsidR="00F70ADF" w:rsidRPr="00BA5773">
        <w:t xml:space="preserve"> </w:t>
      </w:r>
      <w:r w:rsidR="00A60631" w:rsidRPr="00BA5773">
        <w:t xml:space="preserve">Prior </w:t>
      </w:r>
      <w:r w:rsidR="004473AD" w:rsidRPr="00BA5773">
        <w:t xml:space="preserve">to </w:t>
      </w:r>
      <w:r w:rsidR="00A60631" w:rsidRPr="00BA5773">
        <w:t>irradiation, a</w:t>
      </w:r>
      <w:r w:rsidR="00F70ADF" w:rsidRPr="00BA5773">
        <w:t xml:space="preserve">ddition of the polymer causes a partial increase of the original emission intensity due to the increased viscosity of the medium and reduced rotational motion of the free dye (compare the trace at 0 min in Figures </w:t>
      </w:r>
      <w:r w:rsidR="00D932DE" w:rsidRPr="00BA5773">
        <w:t>1</w:t>
      </w:r>
      <w:r w:rsidR="00F70ADF" w:rsidRPr="00BA5773">
        <w:t xml:space="preserve"> and </w:t>
      </w:r>
      <w:r w:rsidR="00D932DE" w:rsidRPr="00BA5773">
        <w:t>2</w:t>
      </w:r>
      <w:r w:rsidR="00F70ADF" w:rsidRPr="00BA5773">
        <w:t>).</w:t>
      </w:r>
      <w:r w:rsidR="00481556" w:rsidRPr="00BA5773">
        <w:fldChar w:fldCharType="begin" w:fldLock="1"/>
      </w:r>
      <w:r w:rsidR="00B06452" w:rsidRPr="00BA5773">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Spectroscopy","id":"ITEM-1","issued":{"date-parts":[["2006"]]},"number-of-pages":"1-954","publisher":"Springer, New York","title":"Principles of fluorescence spectroscopy","type":"book"},"uris":["http://www.mendeley.com/documents/?uuid=c9caa076-fbf3-4160-9c6f-cf13847c401f"]}],"mendeley":{"formattedCitation":"&lt;sup&gt;[17]&lt;/sup&gt;","plainTextFormattedCitation":"[17]","previouslyFormattedCitation":"&lt;sup&gt;[17]&lt;/sup&gt;"},"properties":{"noteIndex":0},"schema":"https://github.com/citation-style-language/schema/raw/master/csl-citation.json"}</w:instrText>
      </w:r>
      <w:r w:rsidR="00481556" w:rsidRPr="00BA5773">
        <w:fldChar w:fldCharType="separate"/>
      </w:r>
      <w:r w:rsidR="0074268C" w:rsidRPr="00BA5773">
        <w:rPr>
          <w:noProof/>
          <w:vertAlign w:val="superscript"/>
        </w:rPr>
        <w:t>[17]</w:t>
      </w:r>
      <w:r w:rsidR="00481556" w:rsidRPr="00BA5773">
        <w:fldChar w:fldCharType="end"/>
      </w:r>
      <w:r w:rsidR="00F70ADF" w:rsidRPr="00BA5773">
        <w:t xml:space="preserve"> With sustained ultraviolet illumination</w:t>
      </w:r>
      <w:r w:rsidR="00D41A72" w:rsidRPr="00BA5773">
        <w:t>, the emission spectrum of</w:t>
      </w:r>
      <w:r w:rsidR="004F5B2E" w:rsidRPr="00BA5773">
        <w:t xml:space="preserve"> an aerated solution of</w:t>
      </w:r>
      <w:r w:rsidR="00D41A72" w:rsidRPr="00BA5773">
        <w:t xml:space="preserve"> </w:t>
      </w:r>
      <w:r w:rsidR="00D41A72" w:rsidRPr="00BA5773">
        <w:rPr>
          <w:b/>
          <w:bCs/>
        </w:rPr>
        <w:t>1</w:t>
      </w:r>
      <w:r w:rsidR="00D41A72" w:rsidRPr="00BA5773">
        <w:t xml:space="preserve"> in the presence of PMMA (Figure </w:t>
      </w:r>
      <w:r w:rsidR="00D932DE" w:rsidRPr="00BA5773">
        <w:t>2</w:t>
      </w:r>
      <w:r w:rsidR="00D41A72" w:rsidRPr="00BA5773">
        <w:t xml:space="preserve">) </w:t>
      </w:r>
      <w:r w:rsidR="00F70ADF" w:rsidRPr="00BA5773">
        <w:t xml:space="preserve">shows </w:t>
      </w:r>
      <w:r w:rsidR="003A2390" w:rsidRPr="00BA5773">
        <w:t xml:space="preserve">a &gt;5-fold vertical increase of the fluorescence intensity up to 15 </w:t>
      </w:r>
      <w:r w:rsidR="003A2390" w:rsidRPr="00BA5773">
        <w:lastRenderedPageBreak/>
        <w:t xml:space="preserve">minutes, followed by a decrease </w:t>
      </w:r>
      <w:r w:rsidR="00E13F7D" w:rsidRPr="00BA5773">
        <w:t xml:space="preserve">(up to a 2.5-fold net </w:t>
      </w:r>
      <w:r w:rsidR="002F5522" w:rsidRPr="00BA5773">
        <w:t>rise</w:t>
      </w:r>
      <w:r w:rsidR="00E13F7D" w:rsidRPr="00BA5773">
        <w:t xml:space="preserve">) </w:t>
      </w:r>
      <w:r w:rsidR="00F9635C" w:rsidRPr="00BA5773">
        <w:t xml:space="preserve">and </w:t>
      </w:r>
      <w:r w:rsidR="003A2390" w:rsidRPr="00BA5773">
        <w:t>a concomitant bathochromic shift of</w:t>
      </w:r>
      <w:r w:rsidR="002F08CB" w:rsidRPr="00BA5773">
        <w:t xml:space="preserve"> the emission maximum. </w:t>
      </w:r>
      <w:r w:rsidR="0059648A" w:rsidRPr="00BA5773">
        <w:t>In parallel, i</w:t>
      </w:r>
      <w:r w:rsidR="001C0ADB" w:rsidRPr="00BA5773">
        <w:t xml:space="preserve">rradiation of </w:t>
      </w:r>
      <w:r w:rsidR="001C0ADB" w:rsidRPr="00BA5773">
        <w:rPr>
          <w:b/>
          <w:bCs/>
        </w:rPr>
        <w:t>1</w:t>
      </w:r>
      <w:r w:rsidR="001C0ADB" w:rsidRPr="00BA5773">
        <w:t xml:space="preserve"> in 1% PMMA/CH</w:t>
      </w:r>
      <w:r w:rsidR="001C0ADB" w:rsidRPr="00BA5773">
        <w:rPr>
          <w:vertAlign w:val="subscript"/>
        </w:rPr>
        <w:t>3</w:t>
      </w:r>
      <w:r w:rsidR="001C0ADB" w:rsidRPr="00BA5773">
        <w:t>CN solution (Fig</w:t>
      </w:r>
      <w:r w:rsidR="009038C3" w:rsidRPr="00BA5773">
        <w:t>ure</w:t>
      </w:r>
      <w:r w:rsidR="001C0ADB" w:rsidRPr="00BA5773">
        <w:t xml:space="preserve"> S</w:t>
      </w:r>
      <w:r w:rsidR="0040363B" w:rsidRPr="00BA5773">
        <w:t>13</w:t>
      </w:r>
      <w:r w:rsidR="001C0ADB" w:rsidRPr="00BA5773">
        <w:t xml:space="preserve">) </w:t>
      </w:r>
      <w:r w:rsidR="00F9635C" w:rsidRPr="00BA5773">
        <w:t>shows the same increase</w:t>
      </w:r>
      <w:r w:rsidR="00DE1111" w:rsidRPr="00BA5773">
        <w:t>-</w:t>
      </w:r>
      <w:r w:rsidR="00F9635C" w:rsidRPr="00BA5773">
        <w:t>decrease</w:t>
      </w:r>
      <w:r w:rsidR="00DE1111" w:rsidRPr="00BA5773">
        <w:t xml:space="preserve"> and redshift</w:t>
      </w:r>
      <w:r w:rsidR="00F9635C" w:rsidRPr="00BA5773">
        <w:t xml:space="preserve"> </w:t>
      </w:r>
      <w:r w:rsidR="00DE1111" w:rsidRPr="00BA5773">
        <w:t>trend</w:t>
      </w:r>
      <w:r w:rsidR="00560F82" w:rsidRPr="00BA5773">
        <w:t xml:space="preserve">, </w:t>
      </w:r>
      <w:r w:rsidR="00C036E2" w:rsidRPr="00BA5773">
        <w:t xml:space="preserve">although </w:t>
      </w:r>
      <w:r w:rsidR="004473AD" w:rsidRPr="00BA5773">
        <w:t xml:space="preserve">it is </w:t>
      </w:r>
      <w:r w:rsidR="00C036E2" w:rsidRPr="00BA5773">
        <w:t>less pronounced</w:t>
      </w:r>
      <w:r w:rsidR="00560F82" w:rsidRPr="00BA5773">
        <w:t xml:space="preserve"> </w:t>
      </w:r>
      <w:r w:rsidR="00C036E2" w:rsidRPr="00BA5773">
        <w:t>th</w:t>
      </w:r>
      <w:r w:rsidR="00560F82" w:rsidRPr="00BA5773">
        <w:t>a</w:t>
      </w:r>
      <w:r w:rsidR="004473AD" w:rsidRPr="00BA5773">
        <w:t>n</w:t>
      </w:r>
      <w:r w:rsidR="00560F82" w:rsidRPr="00BA5773">
        <w:t xml:space="preserve"> at higher polymer concentration</w:t>
      </w:r>
      <w:r w:rsidR="00A93268" w:rsidRPr="00BA5773">
        <w:t xml:space="preserve">, suggesting </w:t>
      </w:r>
      <w:r w:rsidR="004473AD" w:rsidRPr="00BA5773">
        <w:t>that PMMA is</w:t>
      </w:r>
      <w:r w:rsidR="00A93268" w:rsidRPr="00BA5773">
        <w:t xml:space="preserve"> an active participant in the </w:t>
      </w:r>
      <w:r w:rsidR="000A6D57" w:rsidRPr="00BA5773">
        <w:t>equilibrium</w:t>
      </w:r>
      <w:r w:rsidR="00A93268" w:rsidRPr="00BA5773">
        <w:t xml:space="preserve">. </w:t>
      </w:r>
      <w:r w:rsidR="000A6D57" w:rsidRPr="00BA5773">
        <w:t xml:space="preserve"> </w:t>
      </w:r>
    </w:p>
    <w:p w14:paraId="4D0647B1" w14:textId="15CB8FA9" w:rsidR="00B67256" w:rsidRDefault="007D3A2B" w:rsidP="00695CAF">
      <w:pPr>
        <w:spacing w:beforeLines="120" w:before="288" w:afterLines="120" w:after="288" w:line="360" w:lineRule="auto"/>
        <w:jc w:val="center"/>
      </w:pPr>
      <w:r w:rsidRPr="00BA5773">
        <w:rPr>
          <w:noProof/>
        </w:rPr>
        <w:drawing>
          <wp:inline distT="0" distB="0" distL="0" distR="0" wp14:anchorId="69DECAC9" wp14:editId="145FF6D4">
            <wp:extent cx="3060000" cy="25085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67" t="7229" r="11225"/>
                    <a:stretch/>
                  </pic:blipFill>
                  <pic:spPr bwMode="auto">
                    <a:xfrm>
                      <a:off x="0" y="0"/>
                      <a:ext cx="3060000" cy="2508528"/>
                    </a:xfrm>
                    <a:prstGeom prst="rect">
                      <a:avLst/>
                    </a:prstGeom>
                    <a:noFill/>
                    <a:ln>
                      <a:noFill/>
                    </a:ln>
                    <a:extLst>
                      <a:ext uri="{53640926-AAD7-44D8-BBD7-CCE9431645EC}">
                        <a14:shadowObscured xmlns:a14="http://schemas.microsoft.com/office/drawing/2010/main"/>
                      </a:ext>
                    </a:extLst>
                  </pic:spPr>
                </pic:pic>
              </a:graphicData>
            </a:graphic>
          </wp:inline>
        </w:drawing>
      </w:r>
    </w:p>
    <w:p w14:paraId="415FF9B0" w14:textId="5983B61E" w:rsidR="004F5B2E" w:rsidRPr="00BA5773" w:rsidRDefault="004F5B2E" w:rsidP="00695CAF">
      <w:pPr>
        <w:spacing w:beforeLines="120" w:before="288" w:afterLines="120" w:after="288" w:line="360" w:lineRule="auto"/>
        <w:jc w:val="both"/>
        <w:rPr>
          <w:sz w:val="22"/>
          <w:szCs w:val="20"/>
        </w:rPr>
      </w:pPr>
      <w:bookmarkStart w:id="10" w:name="_Hlk56609924"/>
      <w:r w:rsidRPr="00BA5773">
        <w:rPr>
          <w:b/>
          <w:bCs/>
          <w:sz w:val="22"/>
          <w:szCs w:val="20"/>
        </w:rPr>
        <w:t xml:space="preserve">Fig. </w:t>
      </w:r>
      <w:r w:rsidR="00D932DE" w:rsidRPr="00BA5773">
        <w:rPr>
          <w:b/>
          <w:bCs/>
          <w:sz w:val="22"/>
          <w:szCs w:val="20"/>
        </w:rPr>
        <w:t>2</w:t>
      </w:r>
      <w:r w:rsidRPr="00BA5773">
        <w:rPr>
          <w:b/>
          <w:bCs/>
          <w:sz w:val="22"/>
          <w:szCs w:val="20"/>
        </w:rPr>
        <w:t xml:space="preserve"> </w:t>
      </w:r>
      <w:r w:rsidRPr="00BA5773">
        <w:rPr>
          <w:sz w:val="22"/>
          <w:szCs w:val="20"/>
        </w:rPr>
        <w:t>Emission spectra of a 5% PMMA in CH</w:t>
      </w:r>
      <w:r w:rsidRPr="00BA5773">
        <w:rPr>
          <w:sz w:val="22"/>
          <w:szCs w:val="20"/>
          <w:vertAlign w:val="subscript"/>
        </w:rPr>
        <w:t>3</w:t>
      </w:r>
      <w:r w:rsidRPr="00BA5773">
        <w:rPr>
          <w:sz w:val="22"/>
          <w:szCs w:val="20"/>
        </w:rPr>
        <w:t xml:space="preserve">CN solution of </w:t>
      </w:r>
      <w:r w:rsidRPr="00BA5773">
        <w:rPr>
          <w:b/>
          <w:bCs/>
          <w:sz w:val="22"/>
          <w:szCs w:val="20"/>
        </w:rPr>
        <w:t>1</w:t>
      </w:r>
      <w:r w:rsidRPr="00BA5773">
        <w:rPr>
          <w:sz w:val="22"/>
          <w:szCs w:val="20"/>
        </w:rPr>
        <w:t xml:space="preserve"> (30 </w:t>
      </w:r>
      <w:r w:rsidRPr="00BA5773">
        <w:rPr>
          <w:rFonts w:ascii="Symbol" w:hAnsi="Symbol"/>
          <w:sz w:val="22"/>
          <w:szCs w:val="20"/>
        </w:rPr>
        <w:t></w:t>
      </w:r>
      <w:r w:rsidRPr="00BA5773">
        <w:rPr>
          <w:sz w:val="22"/>
          <w:szCs w:val="20"/>
        </w:rPr>
        <w:t>M, 20</w:t>
      </w:r>
      <w:r w:rsidRPr="00BA5773">
        <w:rPr>
          <w:sz w:val="22"/>
          <w:szCs w:val="20"/>
        </w:rPr>
        <w:sym w:font="Symbol" w:char="F0B0"/>
      </w:r>
      <w:r w:rsidRPr="00BA5773">
        <w:rPr>
          <w:sz w:val="22"/>
          <w:szCs w:val="20"/>
        </w:rPr>
        <w:t xml:space="preserve">C, </w:t>
      </w:r>
      <w:r w:rsidRPr="00BA5773">
        <w:rPr>
          <w:rFonts w:ascii="Symbol" w:hAnsi="Symbol"/>
          <w:sz w:val="22"/>
          <w:szCs w:val="20"/>
        </w:rPr>
        <w:t></w:t>
      </w:r>
      <w:r w:rsidRPr="00BA5773">
        <w:rPr>
          <w:sz w:val="22"/>
          <w:szCs w:val="20"/>
          <w:vertAlign w:val="subscript"/>
        </w:rPr>
        <w:t>Ex</w:t>
      </w:r>
      <w:r w:rsidRPr="00BA5773">
        <w:rPr>
          <w:sz w:val="22"/>
          <w:szCs w:val="20"/>
        </w:rPr>
        <w:t xml:space="preserve"> = 330 nm) before and after UVA irradiation (365 nm, 0-60 min, 0.4 mW cm</w:t>
      </w:r>
      <w:r w:rsidRPr="00BA5773">
        <w:rPr>
          <w:sz w:val="22"/>
          <w:szCs w:val="20"/>
          <w:vertAlign w:val="superscript"/>
        </w:rPr>
        <w:t>–2</w:t>
      </w:r>
      <w:r w:rsidRPr="00BA5773">
        <w:rPr>
          <w:sz w:val="22"/>
          <w:szCs w:val="20"/>
        </w:rPr>
        <w:t>) under air.</w:t>
      </w:r>
    </w:p>
    <w:bookmarkEnd w:id="10"/>
    <w:p w14:paraId="2E23EC39" w14:textId="646E4A4A" w:rsidR="00FA4FB6" w:rsidRPr="00BA5773" w:rsidRDefault="00FD5454" w:rsidP="00695CAF">
      <w:pPr>
        <w:spacing w:beforeLines="120" w:before="288" w:afterLines="120" w:after="288" w:line="360" w:lineRule="auto"/>
        <w:jc w:val="both"/>
        <w:rPr>
          <w:rFonts w:cs="Times New Roman"/>
          <w:color w:val="1D1C1D"/>
          <w:szCs w:val="24"/>
          <w:shd w:val="clear" w:color="auto" w:fill="FFFFFF"/>
        </w:rPr>
      </w:pPr>
      <w:r w:rsidRPr="00BA5773">
        <w:t xml:space="preserve">Previously, it </w:t>
      </w:r>
      <w:r w:rsidR="002A6C21" w:rsidRPr="00BA5773">
        <w:t xml:space="preserve">has been reported </w:t>
      </w:r>
      <w:r w:rsidRPr="00BA5773">
        <w:t xml:space="preserve">that </w:t>
      </w:r>
      <w:r w:rsidR="002A6C21" w:rsidRPr="00BA5773">
        <w:t xml:space="preserve">a </w:t>
      </w:r>
      <w:r w:rsidRPr="00BA5773">
        <w:t>chromophore-TEMPO dyad</w:t>
      </w:r>
      <w:r w:rsidR="00FC6099" w:rsidRPr="00BA5773">
        <w:t xml:space="preserve"> can</w:t>
      </w:r>
      <w:r w:rsidRPr="00BA5773">
        <w:t xml:space="preserve"> form</w:t>
      </w:r>
      <w:r w:rsidR="00A86947" w:rsidRPr="00BA5773">
        <w:t xml:space="preserve"> a stable photochemical product </w:t>
      </w:r>
      <w:r w:rsidRPr="00BA5773">
        <w:t xml:space="preserve">by binding to </w:t>
      </w:r>
      <w:r w:rsidR="00FC6099" w:rsidRPr="00BA5773">
        <w:t>PMMA</w:t>
      </w:r>
      <w:r w:rsidRPr="00BA5773">
        <w:t xml:space="preserve"> upon</w:t>
      </w:r>
      <w:r w:rsidR="00BC0D78" w:rsidRPr="00BA5773">
        <w:t xml:space="preserve"> photochemical</w:t>
      </w:r>
      <w:r w:rsidRPr="00BA5773">
        <w:t xml:space="preserve"> sensitization of the nitroxide appendix.</w:t>
      </w:r>
      <w:r w:rsidR="00131A06" w:rsidRPr="00BA5773">
        <w:fldChar w:fldCharType="begin" w:fldLock="1"/>
      </w:r>
      <w:r w:rsidR="008C1A97" w:rsidRPr="00BA5773">
        <w:instrText>ADDIN CSL_CITATION {"citationItems":[{"id":"ITEM-1","itemData":{"DOI":"10.1039/c3cp51723c","ISSN":"14639076","abstract":"A prefluorescent radical probe in which a 2,2,6,6-tetramethylpiperidine-N- oxyl (TEMPO) unit is sensitized with visible light via energy transfer from a tethered coumarin dye has been synthesized. The excited TEMPO moiety undergoes hydrogen abstraction from a polymer with concomitant functionalization of the polymeric matrix; this writing process can be reversed thermally. The fluorescent probes can be bleached under high intensity illumination, making these new materials suitable for dual-tone lithography with potential applications in sub-diffraction lithographic imaging. © the Owner Societies 2013.","author":[{"dropping-particle":"","family":"Impellizzeri","given":"Stefania","non-dropping-particle":"","parse-names":false,"suffix":""},{"dropping-particle":"","family":"Stamplecoskie","given":"Kevin G.","non-dropping-particle":"","parse-names":false,"suffix":""},{"dropping-particle":"","family":"Scaiano","given":"Juan C.","non-dropping-particle":"","parse-names":false,"suffix":""}],"container-title":"Physical Chemistry Chemical Physics","id":"ITEM-1","issue":"36","issued":{"date-parts":[["2013"]]},"page":"14873-14878","title":"Sensitized excited free-radical processes as read-write tools: Impact on non-linear lithographic processes","type":"article-journal","volume":"15"},"uris":["http://www.mendeley.com/documents/?uuid=017f0e8a-dec8-4d02-9ea6-c0c781e5acd9"]},{"id":"ITEM-2","itemData":{"DOI":"10.1002/pi.5664","ISSN":"10970126","abstract":"Post-polymerization modification is an attractive approach to extend applications and convert commodity plastics into products with new, desirable and tunable properties. Among the post-polymerization modification methods, the nitroxide radical coupling (NRC) reaction has been shown to be a convenient and versatile way to graft specific functionalities onto polymer chains and to control the onset and yield of polymer crosslinking during peroxide-initiated processes. The use of 2,2,6,6-tetramethylpiperidine-1-oxyl (TEMPO) and its derivatives as controllers of scorch in crosslinking and as functionalizers in functionalization reactions is thoroughly described. Examples are also given of graft polymerization from macroalkoxyamines generated by NRC and grafting of nitroxides by irradiation processes. In addition, in this review we attempt to demonstrate the broad applications of the NRC reaction in the preparation of polymers with a multitude of functionalities and elaborate architectures. The examples discussed here concern the use of atom transfer and single electron transfer NRC reactions to design a variety of polymers with asymmetrical structure and the use of the radical crossover reaction, based on the alkoxyamine dynamic covalent bond, to generate reversible polymer structures and switchable functional polymers. © 2018 Society of Chemical Industry.","author":[{"dropping-particle":"","family":"Coiai","given":"Serena","non-dropping-particle":"","parse-names":false,"suffix":""},{"dropping-particle":"","family":"Passaglia","given":"Elisa","non-dropping-particle":"","parse-names":false,"suffix":""},{"dropping-particle":"","family":"Cicogna","given":"Francesca","non-dropping-particle":"","parse-names":false,"suffix":""}],"container-title":"Polymer International","id":"ITEM-2","issue":"1","issued":{"date-parts":[["2019"]]},"page":"27-63","title":"Post-polymerization modification by nitroxide radical coupling","type":"article","volume":"68"},"uris":["http://www.mendeley.com/documents/?uuid=e7a86cb5-530b-4ce0-b7be-04c7d4334c63"]}],"mendeley":{"formattedCitation":"&lt;sup&gt;[29,57]&lt;/sup&gt;","plainTextFormattedCitation":"[29,57]","previouslyFormattedCitation":"&lt;sup&gt;[29,57]&lt;/sup&gt;"},"properties":{"noteIndex":0},"schema":"https://github.com/citation-style-language/schema/raw/master/csl-citation.json"}</w:instrText>
      </w:r>
      <w:r w:rsidR="00131A06" w:rsidRPr="00BA5773">
        <w:fldChar w:fldCharType="separate"/>
      </w:r>
      <w:r w:rsidR="00B06452" w:rsidRPr="00BA5773">
        <w:rPr>
          <w:noProof/>
          <w:vertAlign w:val="superscript"/>
        </w:rPr>
        <w:t>[29,57]</w:t>
      </w:r>
      <w:r w:rsidR="00131A06" w:rsidRPr="00BA5773">
        <w:fldChar w:fldCharType="end"/>
      </w:r>
      <w:r w:rsidRPr="00BA5773">
        <w:t xml:space="preserve"> The mechanism for the addition, depicted for a generic chromophore-nitroxide dy</w:t>
      </w:r>
      <w:r w:rsidR="002A6C21" w:rsidRPr="00BA5773">
        <w:t>ad</w:t>
      </w:r>
      <w:r w:rsidRPr="00BA5773">
        <w:t xml:space="preserve"> CNO•, is illustrated in Scheme 2. We thus investigated the possibility that, follow</w:t>
      </w:r>
      <w:r w:rsidR="004473AD" w:rsidRPr="00BA5773">
        <w:t>ing</w:t>
      </w:r>
      <w:r w:rsidRPr="00BA5773">
        <w:t xml:space="preserve"> ultraviolet irradiation in the presence of PMMA, a polymer </w:t>
      </w:r>
      <w:r w:rsidR="00A523D3" w:rsidRPr="00BA5773">
        <w:rPr>
          <w:szCs w:val="24"/>
        </w:rPr>
        <w:t xml:space="preserve">adduct </w:t>
      </w:r>
      <w:r w:rsidR="00FC6099" w:rsidRPr="00BA5773">
        <w:rPr>
          <w:szCs w:val="24"/>
        </w:rPr>
        <w:t>(</w:t>
      </w:r>
      <w:r w:rsidR="00A86947" w:rsidRPr="00BA5773">
        <w:rPr>
          <w:b/>
          <w:bCs/>
          <w:szCs w:val="24"/>
        </w:rPr>
        <w:t>3</w:t>
      </w:r>
      <w:r w:rsidR="00A523D3" w:rsidRPr="00BA5773">
        <w:rPr>
          <w:szCs w:val="24"/>
        </w:rPr>
        <w:t xml:space="preserve"> </w:t>
      </w:r>
      <w:r w:rsidR="00FC6099" w:rsidRPr="00BA5773">
        <w:rPr>
          <w:szCs w:val="24"/>
        </w:rPr>
        <w:t xml:space="preserve">in </w:t>
      </w:r>
      <w:r w:rsidR="00A523D3" w:rsidRPr="00BA5773">
        <w:rPr>
          <w:szCs w:val="24"/>
        </w:rPr>
        <w:t>Scheme 1)</w:t>
      </w:r>
      <w:r w:rsidR="00FC6099" w:rsidRPr="00BA5773">
        <w:rPr>
          <w:szCs w:val="24"/>
        </w:rPr>
        <w:t xml:space="preserve"> could result </w:t>
      </w:r>
      <w:r w:rsidR="004135B6" w:rsidRPr="00BA5773">
        <w:t xml:space="preserve">from the addition of </w:t>
      </w:r>
      <w:r w:rsidR="004135B6" w:rsidRPr="00BA5773">
        <w:rPr>
          <w:b/>
          <w:bCs/>
        </w:rPr>
        <w:t>1</w:t>
      </w:r>
      <w:r w:rsidR="004135B6" w:rsidRPr="00BA5773">
        <w:t xml:space="preserve"> to the polymer skeleton</w:t>
      </w:r>
      <w:r w:rsidR="00495555" w:rsidRPr="00BA5773">
        <w:t xml:space="preserve"> following a H</w:t>
      </w:r>
      <w:r w:rsidR="0057673D">
        <w:t xml:space="preserve"> </w:t>
      </w:r>
      <w:r w:rsidR="00495555" w:rsidRPr="00BA5773">
        <w:t>abstraction step.</w:t>
      </w:r>
      <w:r w:rsidR="00586D17" w:rsidRPr="00BA5773">
        <w:t xml:space="preserve"> </w:t>
      </w:r>
      <w:r w:rsidR="00952A58" w:rsidRPr="00BA5773">
        <w:t>Binding or attachment of a fluorophore to a polymeric substrate is usually accompanied by spectral shift due to the different environment of the bound species</w:t>
      </w:r>
      <w:r w:rsidR="00E34851" w:rsidRPr="00BA5773">
        <w:t>.</w:t>
      </w:r>
      <w:r w:rsidR="00131A06" w:rsidRPr="00BA5773">
        <w:fldChar w:fldCharType="begin" w:fldLock="1"/>
      </w:r>
      <w:r w:rsidR="00B06452" w:rsidRPr="00BA5773">
        <w:instrText>ADDIN CSL_CITATION {"citationItems":[{"id":"ITEM-1","itemData":{"DOI":"10.1007/978-0-387-46312-4","ISBN":"0387312781","abstract":"The third edition of the established classic text reference, Principles of Fluorescence Spectroscopy, will enhance upon the earlier editions' successes. Organized as a textbook for the learning student or the researcher needing to acquire the core competencies, Principles of Fluorescence Spectroscopy, 3e will maintain the emphasis on basics, while updating the examples to include recent results from the literature. The third edition also includes new chapters on single molecule detection, fluorescence correlation spectroscopy, novel probes and radiative decay engineering.This full-color textbook features the following: Problem sets following every chapter Glossaries of commonly used acronyms and mathematical symbols Appendices containing a list of recommended books which expand on various specialized topics Sections describing advanced topics will indicate as such, to allow these sections to be skipped in an introductory course, allowing the text to be used for classes of different levels Includes CD-ROM of all figures in a low-res format, perfect for use in instruction and presentations Principles of Fluorescence Spectroscopy, 3rd edition, is an essential volume for students, researchers, and industry professionals in biophysics, biochemistry, biotechnology, bioengineering, biology and medicine. About the Author: Dr. Joseph R. Lakowicz is Professor of Biochemistry at the University of Maryland School of Medicine, Baltimore, and Director of the Center for Fluorescence Spectroscopy. Dr. Lakowicz has published over 400 scientific articles, has edited numerous books, holds 16 issued patents, and is the author of the widely used text, Principles of Fluorescence Spectroscopy now in its 3rd edition. © 2006, 1999, 1983 Springer Science+Business Media, LLC.","author":[{"dropping-particle":"","family":"Lakowicz","given":"Joseph R.","non-dropping-particle":"","parse-names":false,"suffix":""}],"container-title":"Principles of Fluorescence Spectroscopy","id":"ITEM-1","issued":{"date-parts":[["2006"]]},"number-of-pages":"1-954","publisher":"Springer, New York","title":"Principles of fluorescence spectroscopy","type":"book"},"uris":["http://www.mendeley.com/documents/?uuid=c9caa076-fbf3-4160-9c6f-cf13847c401f"]}],"mendeley":{"formattedCitation":"&lt;sup&gt;[17]&lt;/sup&gt;","plainTextFormattedCitation":"[17]","previouslyFormattedCitation":"&lt;sup&gt;[17]&lt;/sup&gt;"},"properties":{"noteIndex":0},"schema":"https://github.com/citation-style-language/schema/raw/master/csl-citation.json"}</w:instrText>
      </w:r>
      <w:r w:rsidR="00131A06" w:rsidRPr="00BA5773">
        <w:fldChar w:fldCharType="separate"/>
      </w:r>
      <w:r w:rsidR="0074268C" w:rsidRPr="00BA5773">
        <w:rPr>
          <w:noProof/>
          <w:vertAlign w:val="superscript"/>
        </w:rPr>
        <w:t>[17]</w:t>
      </w:r>
      <w:r w:rsidR="00131A06" w:rsidRPr="00BA5773">
        <w:fldChar w:fldCharType="end"/>
      </w:r>
      <w:r w:rsidR="00952A58" w:rsidRPr="00BA5773">
        <w:t xml:space="preserve"> </w:t>
      </w:r>
      <w:r w:rsidR="00E34851" w:rsidRPr="00BA5773">
        <w:t>I</w:t>
      </w:r>
      <w:r w:rsidR="00952A58" w:rsidRPr="00BA5773">
        <w:t xml:space="preserve">n our case, the aggregation of </w:t>
      </w:r>
      <w:r w:rsidR="00952A58" w:rsidRPr="00BA5773">
        <w:rPr>
          <w:b/>
          <w:bCs/>
        </w:rPr>
        <w:t>1</w:t>
      </w:r>
      <w:r w:rsidR="00952A58" w:rsidRPr="00BA5773">
        <w:t xml:space="preserve"> into the polymer matrix promotes the formation of intramolecular H-bonding at the N</w:t>
      </w:r>
      <w:r w:rsidR="004473AD" w:rsidRPr="00BA5773">
        <w:t>-</w:t>
      </w:r>
      <w:r w:rsidR="00952A58" w:rsidRPr="00BA5773">
        <w:t xml:space="preserve">position within the PMMA network, red-shifting the emission similar to what </w:t>
      </w:r>
      <w:r w:rsidR="004473AD" w:rsidRPr="00BA5773">
        <w:t>was observed</w:t>
      </w:r>
      <w:r w:rsidR="00952A58" w:rsidRPr="00BA5773">
        <w:t xml:space="preserve"> for the commercial, heavily H-bonded chromophore </w:t>
      </w:r>
      <w:r w:rsidR="00952A58" w:rsidRPr="00BA5773">
        <w:rPr>
          <w:b/>
          <w:bCs/>
        </w:rPr>
        <w:t>Q</w:t>
      </w:r>
      <w:r w:rsidR="00952A58" w:rsidRPr="00BA5773">
        <w:t xml:space="preserve"> (Figure S2). </w:t>
      </w:r>
      <w:r w:rsidR="007705BC" w:rsidRPr="00BA5773">
        <w:t xml:space="preserve">To confirm this hypothesis, PMMA was precipitated out of the solution by addition of </w:t>
      </w:r>
      <w:r w:rsidR="00B0203E" w:rsidRPr="00BA5773">
        <w:t>CH</w:t>
      </w:r>
      <w:r w:rsidR="00B0203E" w:rsidRPr="00BA5773">
        <w:rPr>
          <w:vertAlign w:val="subscript"/>
        </w:rPr>
        <w:t>3</w:t>
      </w:r>
      <w:r w:rsidR="00B0203E">
        <w:t>OH</w:t>
      </w:r>
      <w:r w:rsidR="007705BC" w:rsidRPr="00BA5773">
        <w:t xml:space="preserve">, after 2 hours of UVA irradiation. The precipitated polymer was then subjected to three cycles of centrifugation, sonication, and washing </w:t>
      </w:r>
      <w:r w:rsidR="007705BC" w:rsidRPr="00BA5773">
        <w:lastRenderedPageBreak/>
        <w:t>to eliminate any unbound dye. The residue was redissolved in CH</w:t>
      </w:r>
      <w:r w:rsidR="007705BC" w:rsidRPr="00BA5773">
        <w:rPr>
          <w:vertAlign w:val="subscript"/>
        </w:rPr>
        <w:t>3</w:t>
      </w:r>
      <w:r w:rsidR="007705BC" w:rsidRPr="00BA5773">
        <w:t xml:space="preserve">CN and analyzed by </w:t>
      </w:r>
      <w:r w:rsidR="00C640A0" w:rsidRPr="00BA5773">
        <w:t xml:space="preserve">absorption and </w:t>
      </w:r>
      <w:r w:rsidR="007705BC" w:rsidRPr="00BA5773">
        <w:t xml:space="preserve">fluorescence spectroscopy (Figure </w:t>
      </w:r>
      <w:r w:rsidR="00A5422B" w:rsidRPr="00BA5773">
        <w:t>3</w:t>
      </w:r>
      <w:r w:rsidR="007705BC" w:rsidRPr="00BA5773">
        <w:t>)</w:t>
      </w:r>
      <w:r w:rsidR="00124E93" w:rsidRPr="00BA5773">
        <w:t>, which display</w:t>
      </w:r>
      <w:r w:rsidR="004706CA" w:rsidRPr="00BA5773">
        <w:t xml:space="preserve"> </w:t>
      </w:r>
      <w:r w:rsidR="00E116DA" w:rsidRPr="00BA5773">
        <w:t xml:space="preserve">the </w:t>
      </w:r>
      <w:r w:rsidR="004706CA" w:rsidRPr="00BA5773">
        <w:t xml:space="preserve">bathochromically shifted </w:t>
      </w:r>
      <w:r w:rsidR="00124E93" w:rsidRPr="00BA5773">
        <w:t xml:space="preserve">signature of </w:t>
      </w:r>
      <w:r w:rsidR="00124E93" w:rsidRPr="00BA5773">
        <w:rPr>
          <w:b/>
          <w:bCs/>
        </w:rPr>
        <w:t>1</w:t>
      </w:r>
      <w:r w:rsidR="00EB71D7" w:rsidRPr="00BA5773">
        <w:t xml:space="preserve"> (</w:t>
      </w:r>
      <w:r w:rsidR="00EB71D7" w:rsidRPr="00BA5773">
        <w:rPr>
          <w:rFonts w:ascii="Symbol" w:hAnsi="Symbol"/>
        </w:rPr>
        <w:t>l</w:t>
      </w:r>
      <w:r w:rsidR="00EB71D7" w:rsidRPr="00BA5773">
        <w:rPr>
          <w:vertAlign w:val="subscript"/>
        </w:rPr>
        <w:t>Em</w:t>
      </w:r>
      <w:r w:rsidR="00EB71D7" w:rsidRPr="00BA5773">
        <w:t xml:space="preserve"> = </w:t>
      </w:r>
      <w:r w:rsidR="00124E93" w:rsidRPr="00BA5773">
        <w:t>4</w:t>
      </w:r>
      <w:r w:rsidR="00EB71D7" w:rsidRPr="00BA5773">
        <w:t>35</w:t>
      </w:r>
      <w:r w:rsidR="004473AD" w:rsidRPr="00BA5773">
        <w:t xml:space="preserve"> nm</w:t>
      </w:r>
      <w:r w:rsidR="00EB71D7" w:rsidRPr="00BA5773">
        <w:t>), in agreement with</w:t>
      </w:r>
      <w:r w:rsidR="00D057EE" w:rsidRPr="00BA5773">
        <w:t xml:space="preserve"> the results shown in</w:t>
      </w:r>
      <w:r w:rsidR="00EB71D7" w:rsidRPr="00BA5773">
        <w:t xml:space="preserve"> Figure </w:t>
      </w:r>
      <w:r w:rsidR="00A5422B" w:rsidRPr="00BA5773">
        <w:t>2</w:t>
      </w:r>
      <w:r w:rsidR="00EB71D7" w:rsidRPr="00BA5773">
        <w:t xml:space="preserve">. </w:t>
      </w:r>
      <w:r w:rsidR="000B78D4" w:rsidRPr="00BA5773">
        <w:t xml:space="preserve">In comparison, the emission spectra of pure PMMA in </w:t>
      </w:r>
      <w:r w:rsidR="00232CB9" w:rsidRPr="00BA5773">
        <w:t>CH</w:t>
      </w:r>
      <w:r w:rsidR="00232CB9" w:rsidRPr="00BA5773">
        <w:rPr>
          <w:vertAlign w:val="subscript"/>
        </w:rPr>
        <w:t>3</w:t>
      </w:r>
      <w:r w:rsidR="00232CB9" w:rsidRPr="00BA5773">
        <w:t>CN</w:t>
      </w:r>
      <w:r w:rsidR="000B78D4" w:rsidRPr="00BA5773">
        <w:t xml:space="preserve"> does not show any </w:t>
      </w:r>
      <w:r w:rsidR="00DC4349" w:rsidRPr="00BA5773">
        <w:t xml:space="preserve">intrinsic </w:t>
      </w:r>
      <w:r w:rsidR="000B78D4" w:rsidRPr="00BA5773">
        <w:t xml:space="preserve">fluorescence </w:t>
      </w:r>
      <w:r w:rsidR="00560A6F" w:rsidRPr="00BA5773">
        <w:t xml:space="preserve">or irradiation effect </w:t>
      </w:r>
      <w:r w:rsidR="000B78D4" w:rsidRPr="00BA5773">
        <w:t>(Figure S</w:t>
      </w:r>
      <w:r w:rsidR="001D1D56" w:rsidRPr="00BA5773">
        <w:t>1</w:t>
      </w:r>
      <w:r w:rsidR="00630190" w:rsidRPr="00BA5773">
        <w:t>4</w:t>
      </w:r>
      <w:r w:rsidR="000B78D4" w:rsidRPr="00BA5773">
        <w:t xml:space="preserve">). </w:t>
      </w:r>
      <w:r w:rsidR="007406E5" w:rsidRPr="00BA5773">
        <w:t xml:space="preserve">From the absorption values in Figure </w:t>
      </w:r>
      <w:r w:rsidR="00A5422B" w:rsidRPr="00BA5773">
        <w:t>3</w:t>
      </w:r>
      <w:r w:rsidR="00814119" w:rsidRPr="00BA5773">
        <w:t xml:space="preserve"> and the extinction coefficient of </w:t>
      </w:r>
      <w:r w:rsidR="00814119" w:rsidRPr="00BA5773">
        <w:rPr>
          <w:b/>
          <w:bCs/>
        </w:rPr>
        <w:t>1</w:t>
      </w:r>
      <w:r w:rsidR="00814119" w:rsidRPr="00BA5773">
        <w:t xml:space="preserve">, </w:t>
      </w:r>
      <w:r w:rsidR="000D0071" w:rsidRPr="00BA5773">
        <w:t xml:space="preserve">we can estimate that the total amount of </w:t>
      </w:r>
      <w:r w:rsidR="000D0071" w:rsidRPr="00BA5773">
        <w:rPr>
          <w:b/>
          <w:bCs/>
        </w:rPr>
        <w:t>1</w:t>
      </w:r>
      <w:r w:rsidR="000D0071" w:rsidRPr="00BA5773">
        <w:t xml:space="preserve"> that reacted with poly(methyl methacrylate) corresponds to </w:t>
      </w:r>
      <w:r w:rsidR="000D0071" w:rsidRPr="00BA5773">
        <w:rPr>
          <w:rFonts w:cs="Times New Roman"/>
        </w:rPr>
        <w:t>~</w:t>
      </w:r>
      <w:r w:rsidR="00814119" w:rsidRPr="00BA5773">
        <w:t>14</w:t>
      </w:r>
      <w:r w:rsidR="000D0071" w:rsidRPr="00BA5773">
        <w:t>% of the original dye-nitroxide content.</w:t>
      </w:r>
      <w:r w:rsidR="00FA4FB6" w:rsidRPr="00BA5773">
        <w:t xml:space="preserve"> </w:t>
      </w:r>
    </w:p>
    <w:p w14:paraId="2B0A9332" w14:textId="08CC6621" w:rsidR="00586D17" w:rsidRPr="00BA5773" w:rsidRDefault="00A115B3" w:rsidP="00695CAF">
      <w:pPr>
        <w:spacing w:beforeLines="120" w:before="288" w:afterLines="120" w:after="288" w:line="360" w:lineRule="auto"/>
        <w:jc w:val="center"/>
        <w:rPr>
          <w:szCs w:val="24"/>
        </w:rPr>
      </w:pPr>
      <w:r>
        <w:rPr>
          <w:noProof/>
          <w:szCs w:val="24"/>
        </w:rPr>
        <w:drawing>
          <wp:inline distT="0" distB="0" distL="0" distR="0" wp14:anchorId="57399B6E" wp14:editId="363546A5">
            <wp:extent cx="3060000" cy="1175841"/>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00" cy="1175841"/>
                    </a:xfrm>
                    <a:prstGeom prst="rect">
                      <a:avLst/>
                    </a:prstGeom>
                    <a:noFill/>
                  </pic:spPr>
                </pic:pic>
              </a:graphicData>
            </a:graphic>
          </wp:inline>
        </w:drawing>
      </w:r>
    </w:p>
    <w:p w14:paraId="28E6B569" w14:textId="5B49C493" w:rsidR="00A86947" w:rsidRDefault="00586D17" w:rsidP="00695CAF">
      <w:pPr>
        <w:spacing w:beforeLines="120" w:before="288" w:afterLines="120" w:after="288" w:line="360" w:lineRule="auto"/>
        <w:jc w:val="both"/>
        <w:rPr>
          <w:sz w:val="22"/>
          <w:szCs w:val="20"/>
        </w:rPr>
      </w:pPr>
      <w:r w:rsidRPr="00BA5773">
        <w:rPr>
          <w:b/>
          <w:bCs/>
          <w:sz w:val="22"/>
          <w:szCs w:val="20"/>
        </w:rPr>
        <w:t xml:space="preserve">Scheme 2. </w:t>
      </w:r>
      <w:r w:rsidR="0097669E" w:rsidRPr="00BA5773">
        <w:rPr>
          <w:sz w:val="22"/>
        </w:rPr>
        <w:t>Light-induced reaction of excited chromophore-TEMPO (</w:t>
      </w:r>
      <w:r w:rsidR="008E514A" w:rsidRPr="00BA5773">
        <w:rPr>
          <w:sz w:val="22"/>
        </w:rPr>
        <w:t>CNO•</w:t>
      </w:r>
      <w:r w:rsidR="000F15D6" w:rsidRPr="00BA5773">
        <w:rPr>
          <w:sz w:val="22"/>
        </w:rPr>
        <w:t xml:space="preserve">, </w:t>
      </w:r>
      <w:r w:rsidR="000F15D6" w:rsidRPr="00BA5773">
        <w:rPr>
          <w:sz w:val="22"/>
          <w:szCs w:val="20"/>
        </w:rPr>
        <w:t>C = chromophore</w:t>
      </w:r>
      <w:r w:rsidR="0097669E" w:rsidRPr="00BA5773">
        <w:rPr>
          <w:sz w:val="22"/>
        </w:rPr>
        <w:t>) dyads with a monomeric unit within the PMMA chain.</w:t>
      </w:r>
      <w:r w:rsidRPr="00BA5773">
        <w:rPr>
          <w:sz w:val="22"/>
          <w:szCs w:val="20"/>
        </w:rPr>
        <w:t xml:space="preserve"> </w:t>
      </w:r>
      <w:r w:rsidR="00A115B3" w:rsidRPr="00A115B3">
        <w:rPr>
          <w:sz w:val="22"/>
          <w:szCs w:val="20"/>
        </w:rPr>
        <w:t xml:space="preserve">Molecules shown in </w:t>
      </w:r>
      <w:r w:rsidR="00A115B3">
        <w:rPr>
          <w:sz w:val="22"/>
          <w:szCs w:val="20"/>
        </w:rPr>
        <w:t>green</w:t>
      </w:r>
      <w:r w:rsidR="00A115B3" w:rsidRPr="00A115B3">
        <w:rPr>
          <w:sz w:val="22"/>
          <w:szCs w:val="20"/>
        </w:rPr>
        <w:t xml:space="preserve"> are fluorescent</w:t>
      </w:r>
      <w:r w:rsidR="00A115B3">
        <w:rPr>
          <w:sz w:val="22"/>
          <w:szCs w:val="20"/>
        </w:rPr>
        <w:t>.</w:t>
      </w:r>
    </w:p>
    <w:p w14:paraId="0087C0B5" w14:textId="77777777" w:rsidR="00185A9A" w:rsidRDefault="00185A9A" w:rsidP="00185A9A">
      <w:pPr>
        <w:spacing w:beforeLines="120" w:before="288" w:afterLines="120" w:after="288" w:line="360" w:lineRule="auto"/>
        <w:contextualSpacing/>
        <w:jc w:val="center"/>
        <w:rPr>
          <w:b/>
          <w:bCs/>
          <w:sz w:val="22"/>
          <w:szCs w:val="20"/>
        </w:rPr>
      </w:pPr>
      <w:r w:rsidRPr="00BA5773">
        <w:rPr>
          <w:noProof/>
        </w:rPr>
        <w:drawing>
          <wp:inline distT="0" distB="0" distL="0" distR="0" wp14:anchorId="045462B4" wp14:editId="246193BA">
            <wp:extent cx="3059430" cy="2294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68" t="5640" r="1531"/>
                    <a:stretch/>
                  </pic:blipFill>
                  <pic:spPr bwMode="auto">
                    <a:xfrm>
                      <a:off x="0" y="0"/>
                      <a:ext cx="3060000" cy="2295123"/>
                    </a:xfrm>
                    <a:prstGeom prst="rect">
                      <a:avLst/>
                    </a:prstGeom>
                    <a:noFill/>
                    <a:ln>
                      <a:noFill/>
                    </a:ln>
                    <a:extLst>
                      <a:ext uri="{53640926-AAD7-44D8-BBD7-CCE9431645EC}">
                        <a14:shadowObscured xmlns:a14="http://schemas.microsoft.com/office/drawing/2010/main"/>
                      </a:ext>
                    </a:extLst>
                  </pic:spPr>
                </pic:pic>
              </a:graphicData>
            </a:graphic>
          </wp:inline>
        </w:drawing>
      </w:r>
    </w:p>
    <w:p w14:paraId="3CD89BA2" w14:textId="066F8D2E" w:rsidR="00B83371" w:rsidRPr="00BA5773" w:rsidRDefault="00372210" w:rsidP="00185A9A">
      <w:pPr>
        <w:spacing w:beforeLines="120" w:before="288" w:afterLines="120" w:after="288" w:line="360" w:lineRule="auto"/>
        <w:contextualSpacing/>
        <w:jc w:val="both"/>
        <w:rPr>
          <w:sz w:val="22"/>
          <w:szCs w:val="20"/>
        </w:rPr>
      </w:pPr>
      <w:r w:rsidRPr="00BA5773">
        <w:rPr>
          <w:b/>
          <w:bCs/>
          <w:sz w:val="22"/>
          <w:szCs w:val="20"/>
        </w:rPr>
        <w:t xml:space="preserve">Fig. </w:t>
      </w:r>
      <w:r w:rsidR="00FD0C3D" w:rsidRPr="00BA5773">
        <w:rPr>
          <w:b/>
          <w:bCs/>
          <w:sz w:val="22"/>
          <w:szCs w:val="20"/>
        </w:rPr>
        <w:t>3</w:t>
      </w:r>
      <w:r w:rsidRPr="00BA5773">
        <w:rPr>
          <w:b/>
          <w:bCs/>
          <w:sz w:val="22"/>
          <w:szCs w:val="20"/>
        </w:rPr>
        <w:t xml:space="preserve"> </w:t>
      </w:r>
      <w:r w:rsidR="0068632A" w:rsidRPr="00BA5773">
        <w:rPr>
          <w:sz w:val="22"/>
          <w:szCs w:val="20"/>
        </w:rPr>
        <w:t>Absorption (</w:t>
      </w:r>
      <w:r w:rsidR="001137A7" w:rsidRPr="00BA5773">
        <w:rPr>
          <w:sz w:val="22"/>
          <w:szCs w:val="20"/>
        </w:rPr>
        <w:t>solid</w:t>
      </w:r>
      <w:r w:rsidR="0068632A" w:rsidRPr="00BA5773">
        <w:rPr>
          <w:sz w:val="22"/>
          <w:szCs w:val="20"/>
        </w:rPr>
        <w:t>) and emission (</w:t>
      </w:r>
      <w:r w:rsidR="001137A7" w:rsidRPr="00BA5773">
        <w:rPr>
          <w:sz w:val="22"/>
          <w:szCs w:val="20"/>
        </w:rPr>
        <w:t>dashed</w:t>
      </w:r>
      <w:r w:rsidR="0068632A" w:rsidRPr="00BA5773">
        <w:rPr>
          <w:sz w:val="22"/>
          <w:szCs w:val="20"/>
        </w:rPr>
        <w:t xml:space="preserve">, </w:t>
      </w:r>
      <w:r w:rsidR="0068632A" w:rsidRPr="00BA5773">
        <w:rPr>
          <w:rFonts w:ascii="Symbol" w:hAnsi="Symbol"/>
          <w:sz w:val="22"/>
          <w:szCs w:val="20"/>
        </w:rPr>
        <w:t></w:t>
      </w:r>
      <w:r w:rsidR="0068632A" w:rsidRPr="00BA5773">
        <w:rPr>
          <w:sz w:val="22"/>
          <w:szCs w:val="20"/>
          <w:vertAlign w:val="subscript"/>
        </w:rPr>
        <w:t>Ex</w:t>
      </w:r>
      <w:r w:rsidR="0068632A" w:rsidRPr="00BA5773">
        <w:rPr>
          <w:sz w:val="22"/>
          <w:szCs w:val="20"/>
        </w:rPr>
        <w:t xml:space="preserve"> = 330 nm) spectra of the precipitated polymer obtained after 3 mL of a 30 </w:t>
      </w:r>
      <w:r w:rsidR="0068632A" w:rsidRPr="00BA5773">
        <w:rPr>
          <w:rFonts w:ascii="Symbol" w:hAnsi="Symbol"/>
          <w:sz w:val="22"/>
          <w:szCs w:val="20"/>
        </w:rPr>
        <w:t>m</w:t>
      </w:r>
      <w:r w:rsidR="0068632A" w:rsidRPr="00BA5773">
        <w:rPr>
          <w:sz w:val="22"/>
          <w:szCs w:val="20"/>
        </w:rPr>
        <w:t xml:space="preserve">M solution of </w:t>
      </w:r>
      <w:r w:rsidR="0068632A" w:rsidRPr="00BA5773">
        <w:rPr>
          <w:b/>
          <w:bCs/>
          <w:sz w:val="22"/>
          <w:szCs w:val="20"/>
        </w:rPr>
        <w:t>1</w:t>
      </w:r>
      <w:r w:rsidR="0068632A" w:rsidRPr="00BA5773">
        <w:rPr>
          <w:sz w:val="22"/>
          <w:szCs w:val="20"/>
        </w:rPr>
        <w:t xml:space="preserve"> in 5% PMMA/CH</w:t>
      </w:r>
      <w:r w:rsidR="0068632A" w:rsidRPr="00BA5773">
        <w:rPr>
          <w:sz w:val="22"/>
          <w:szCs w:val="20"/>
          <w:vertAlign w:val="subscript"/>
        </w:rPr>
        <w:t>3</w:t>
      </w:r>
      <w:r w:rsidR="0068632A" w:rsidRPr="00BA5773">
        <w:rPr>
          <w:sz w:val="22"/>
          <w:szCs w:val="20"/>
        </w:rPr>
        <w:t>CN was exposed to ultraviolet light for 120 min.</w:t>
      </w:r>
    </w:p>
    <w:p w14:paraId="3662D92A" w14:textId="65B97F07" w:rsidR="004473AD" w:rsidRPr="00BA5773" w:rsidRDefault="004473AD" w:rsidP="00695CAF">
      <w:pPr>
        <w:spacing w:beforeLines="120" w:before="288" w:afterLines="120" w:after="288" w:line="360" w:lineRule="auto"/>
        <w:contextualSpacing/>
        <w:jc w:val="both"/>
        <w:rPr>
          <w:sz w:val="22"/>
          <w:szCs w:val="20"/>
        </w:rPr>
      </w:pPr>
    </w:p>
    <w:p w14:paraId="644F7884" w14:textId="1596C743" w:rsidR="004B452B" w:rsidRPr="00BA5773" w:rsidRDefault="000255EC" w:rsidP="00695CAF">
      <w:pPr>
        <w:spacing w:beforeLines="120" w:before="288" w:afterLines="120" w:after="288" w:line="360" w:lineRule="auto"/>
        <w:ind w:firstLine="567"/>
        <w:jc w:val="both"/>
      </w:pPr>
      <w:r w:rsidRPr="00BA5773">
        <w:t>On the other hand, t</w:t>
      </w:r>
      <w:r w:rsidR="00B83371" w:rsidRPr="00BA5773">
        <w:t xml:space="preserve">he supernatant recovered from the centrifugation of the polymer indicates the presence of the hydroxylamine product </w:t>
      </w:r>
      <w:r w:rsidR="00B83371" w:rsidRPr="00BA5773">
        <w:rPr>
          <w:b/>
          <w:bCs/>
        </w:rPr>
        <w:t>2</w:t>
      </w:r>
      <w:r w:rsidR="00B83371" w:rsidRPr="00BA5773">
        <w:t>, formed upon H</w:t>
      </w:r>
      <w:r w:rsidR="0057673D">
        <w:t xml:space="preserve"> </w:t>
      </w:r>
      <w:r w:rsidR="00B83371" w:rsidRPr="00BA5773">
        <w:t xml:space="preserve">abstraction from the PMMA matrix (note that for one equivalent of </w:t>
      </w:r>
      <w:r w:rsidR="00B83371" w:rsidRPr="00BA5773">
        <w:rPr>
          <w:b/>
          <w:bCs/>
        </w:rPr>
        <w:t xml:space="preserve">1 </w:t>
      </w:r>
      <w:r w:rsidR="00B83371" w:rsidRPr="00BA5773">
        <w:t xml:space="preserve">successfully bound to the polymer, another equivalent produces </w:t>
      </w:r>
      <w:r w:rsidR="00B83371" w:rsidRPr="00BA5773">
        <w:lastRenderedPageBreak/>
        <w:t xml:space="preserve">the hydroxylamine </w:t>
      </w:r>
      <w:r w:rsidR="00B83371" w:rsidRPr="00BA5773">
        <w:rPr>
          <w:b/>
          <w:bCs/>
        </w:rPr>
        <w:t>2</w:t>
      </w:r>
      <w:r w:rsidR="00B83371" w:rsidRPr="00BA5773">
        <w:t xml:space="preserve"> according to the stoichiometry described in Scheme </w:t>
      </w:r>
      <w:r w:rsidR="00842D08" w:rsidRPr="00BA5773">
        <w:t>2</w:t>
      </w:r>
      <w:r w:rsidR="00B83371" w:rsidRPr="00BA5773">
        <w:t xml:space="preserve">). </w:t>
      </w:r>
      <w:r w:rsidR="002F77CE" w:rsidRPr="00BA5773">
        <w:t>Indeed, the most prominent feature of the corresponding FTIR</w:t>
      </w:r>
      <w:r w:rsidR="00A82D46" w:rsidRPr="00BA5773">
        <w:t>-ATR</w:t>
      </w:r>
      <w:r w:rsidR="002F77CE" w:rsidRPr="00BA5773">
        <w:t xml:space="preserve"> spectrum (Figure S</w:t>
      </w:r>
      <w:r w:rsidR="004646A5" w:rsidRPr="00BA5773">
        <w:t>1</w:t>
      </w:r>
      <w:r w:rsidR="00894497" w:rsidRPr="00BA5773">
        <w:t>5</w:t>
      </w:r>
      <w:r w:rsidR="002F77CE" w:rsidRPr="00BA5773">
        <w:t>) is the strong O-H stretching vibration at 3330 cm</w:t>
      </w:r>
      <w:r w:rsidR="002F77CE" w:rsidRPr="00BA5773">
        <w:rPr>
          <w:vertAlign w:val="superscript"/>
        </w:rPr>
        <w:t xml:space="preserve">-1 </w:t>
      </w:r>
      <w:r w:rsidR="002F77CE" w:rsidRPr="00BA5773">
        <w:t xml:space="preserve">which </w:t>
      </w:r>
      <w:r w:rsidR="00EC7C65" w:rsidRPr="00BA5773">
        <w:t>alludes to</w:t>
      </w:r>
      <w:r w:rsidR="002F77CE" w:rsidRPr="00BA5773">
        <w:t xml:space="preserve"> the presence of </w:t>
      </w:r>
      <w:r w:rsidR="002F77CE" w:rsidRPr="00BA5773">
        <w:rPr>
          <w:b/>
          <w:bCs/>
        </w:rPr>
        <w:t>2</w:t>
      </w:r>
      <w:r w:rsidR="004D24C0" w:rsidRPr="00BA5773">
        <w:t>, and the spectrum is identical to that reported by another group.</w:t>
      </w:r>
      <w:r w:rsidR="00190503" w:rsidRPr="00BA5773">
        <w:fldChar w:fldCharType="begin" w:fldLock="1"/>
      </w:r>
      <w:r w:rsidR="00B06452" w:rsidRPr="00BA5773">
        <w:instrText>ADDIN CSL_CITATION {"citationItems":[{"id":"ITEM-1","itemData":{"DOI":"10.1155/2016/6482050","ISSN":"1687-9422","abstract":"Photosensitive alkoxyamine 2,2,6,6-tetramethyl-1-(1-phenylethoxy)piperidin-4-yl quinoline-2-carboxylate (PE-TEMPO-Q) was synthesized. Photochemical properties of PE-TEMPO-Q were studied to develop photoinduced nitroxide-mediated polymerization of methyl methacrylate (MMA). Rapid and facile polymerization at ambient temperature with PE-TEMPO-Q as an initiator was confirmed to proceed in a controlled mechanism based on the linear growth in molecular weight combined with relative narrow polydispersity index (1.4–1.8) of the resulting polymers. The stereochemistry of obtained polymers was also investigated, and the syndiotacticity slightly increased compared with the typical photopolymerization. Dual-controlled photopolymerization of MMA was achieved in the presence of synthesized alkoxyamine.","author":[{"dropping-particle":"","family":"Su","given":"Juahui","non-dropping-particle":"","parse-names":false,"suffix":""},{"dropping-particle":"","family":"Liu","given":"Xiaoxuan","non-dropping-particle":"","parse-names":false,"suffix":""},{"dropping-particle":"","family":"Li","given":"Maijun","non-dropping-particle":"","parse-names":false,"suffix":""},{"dropping-particle":"","family":"Zhang","given":"Ting","non-dropping-particle":"","parse-names":false,"suffix":""},{"dropping-particle":"","family":"Cui","given":"Yanyan","non-dropping-particle":"","parse-names":false,"suffix":""}],"container-title":"International Journal of Polymer Science","id":"ITEM-1","issued":{"date-parts":[["2016"]]},"page":"1-8","publisher":"Hindawi Publishing Corporation","title":"Stereocontrol of Methyl Methacrylate during Photoinduced Nitroxide-Mediated Polymerization in the Presence of Photosensitive Alkoxyamine","type":"article-journal","volume":"2016"},"uris":["http://www.mendeley.com/documents/?uuid=78f4503d-72fd-40e6-9643-62acacf49ad3"]}],"mendeley":{"formattedCitation":"&lt;sup&gt;[32]&lt;/sup&gt;","plainTextFormattedCitation":"[32]","previouslyFormattedCitation":"&lt;sup&gt;[32]&lt;/sup&gt;"},"properties":{"noteIndex":0},"schema":"https://github.com/citation-style-language/schema/raw/master/csl-citation.json"}</w:instrText>
      </w:r>
      <w:r w:rsidR="00190503" w:rsidRPr="00BA5773">
        <w:fldChar w:fldCharType="separate"/>
      </w:r>
      <w:r w:rsidR="0074268C" w:rsidRPr="00BA5773">
        <w:rPr>
          <w:noProof/>
          <w:vertAlign w:val="superscript"/>
        </w:rPr>
        <w:t>[32]</w:t>
      </w:r>
      <w:r w:rsidR="00190503" w:rsidRPr="00BA5773">
        <w:fldChar w:fldCharType="end"/>
      </w:r>
      <w:r w:rsidR="004D24C0" w:rsidRPr="00BA5773">
        <w:t xml:space="preserve"> </w:t>
      </w:r>
      <w:r w:rsidR="002F77CE" w:rsidRPr="00BA5773">
        <w:t xml:space="preserve">This is consistent with what </w:t>
      </w:r>
      <w:r w:rsidR="00842D08" w:rsidRPr="00BA5773">
        <w:t xml:space="preserve">we </w:t>
      </w:r>
      <w:r w:rsidR="002F77CE" w:rsidRPr="00BA5773">
        <w:t>suspected</w:t>
      </w:r>
      <w:r w:rsidR="00842D08" w:rsidRPr="00BA5773">
        <w:t xml:space="preserve"> based on</w:t>
      </w:r>
      <w:r w:rsidR="002F77CE" w:rsidRPr="00BA5773">
        <w:t xml:space="preserve"> the experiments conducted under N</w:t>
      </w:r>
      <w:r w:rsidR="002F77CE" w:rsidRPr="00BA5773">
        <w:rPr>
          <w:vertAlign w:val="subscript"/>
        </w:rPr>
        <w:t>2</w:t>
      </w:r>
      <w:r w:rsidR="002F77CE" w:rsidRPr="00BA5773">
        <w:t>, especially in light of the fact that PMMA is a better H-donor than CH</w:t>
      </w:r>
      <w:r w:rsidR="002F77CE" w:rsidRPr="00BA5773">
        <w:rPr>
          <w:vertAlign w:val="subscript"/>
        </w:rPr>
        <w:t>3</w:t>
      </w:r>
      <w:r w:rsidR="002F77CE" w:rsidRPr="00BA5773">
        <w:t xml:space="preserve">CN. </w:t>
      </w:r>
      <w:r w:rsidR="008C044D" w:rsidRPr="00BA5773">
        <w:t>Based on these considerations, t</w:t>
      </w:r>
      <w:r w:rsidR="00190503" w:rsidRPr="00BA5773">
        <w:t xml:space="preserve">he progressive decrease in fluorescence at longer irradiation times observed in Figure </w:t>
      </w:r>
      <w:r w:rsidR="00FD0C3D" w:rsidRPr="00BA5773">
        <w:t>2</w:t>
      </w:r>
      <w:r w:rsidR="00190503" w:rsidRPr="00BA5773">
        <w:t xml:space="preserve"> comes a</w:t>
      </w:r>
      <w:r w:rsidR="006F779D" w:rsidRPr="00BA5773">
        <w:t>s</w:t>
      </w:r>
      <w:r w:rsidR="00190503" w:rsidRPr="00BA5773">
        <w:t xml:space="preserve"> no surprise, as the newly formed O-H bond in </w:t>
      </w:r>
      <w:r w:rsidR="00190503" w:rsidRPr="00BA5773">
        <w:rPr>
          <w:b/>
          <w:bCs/>
        </w:rPr>
        <w:t>2</w:t>
      </w:r>
      <w:r w:rsidR="00190503" w:rsidRPr="00BA5773">
        <w:t xml:space="preserve"> will partially decompose in aerated conditions under prolonged illumination.</w:t>
      </w:r>
    </w:p>
    <w:p w14:paraId="47129070" w14:textId="59D1795C" w:rsidR="00774F80" w:rsidRPr="00BA5773" w:rsidRDefault="00B72385" w:rsidP="00695CAF">
      <w:pPr>
        <w:spacing w:beforeLines="120" w:before="288" w:afterLines="120" w:after="288" w:line="360" w:lineRule="auto"/>
        <w:jc w:val="both"/>
        <w:rPr>
          <w:b/>
          <w:bCs/>
          <w:szCs w:val="24"/>
        </w:rPr>
      </w:pPr>
      <w:r w:rsidRPr="00BA5773">
        <w:rPr>
          <w:b/>
          <w:bCs/>
          <w:szCs w:val="24"/>
        </w:rPr>
        <w:t xml:space="preserve">Photochemistry of 1 </w:t>
      </w:r>
      <w:r w:rsidR="00A86719" w:rsidRPr="00BA5773">
        <w:rPr>
          <w:b/>
          <w:bCs/>
          <w:szCs w:val="24"/>
        </w:rPr>
        <w:t xml:space="preserve">in Polymer Films </w:t>
      </w:r>
      <w:r w:rsidR="00BB0BDD" w:rsidRPr="00BA5773">
        <w:rPr>
          <w:b/>
          <w:bCs/>
          <w:szCs w:val="24"/>
        </w:rPr>
        <w:t xml:space="preserve">and </w:t>
      </w:r>
      <w:r w:rsidR="00C81955" w:rsidRPr="00BA5773">
        <w:rPr>
          <w:b/>
          <w:bCs/>
          <w:szCs w:val="24"/>
        </w:rPr>
        <w:t xml:space="preserve">Fluorescence </w:t>
      </w:r>
      <w:r w:rsidR="00666182" w:rsidRPr="00BA5773">
        <w:rPr>
          <w:b/>
          <w:bCs/>
          <w:szCs w:val="24"/>
        </w:rPr>
        <w:t>Patterning</w:t>
      </w:r>
    </w:p>
    <w:p w14:paraId="0D973269" w14:textId="51D3CA8D" w:rsidR="001916FD" w:rsidRPr="00BA5773" w:rsidRDefault="001B4054" w:rsidP="00695CAF">
      <w:pPr>
        <w:spacing w:beforeLines="120" w:before="288" w:afterLines="120" w:after="288" w:line="360" w:lineRule="auto"/>
        <w:jc w:val="both"/>
        <w:rPr>
          <w:szCs w:val="24"/>
        </w:rPr>
      </w:pPr>
      <w:r w:rsidRPr="00BA5773">
        <w:rPr>
          <w:szCs w:val="24"/>
        </w:rPr>
        <w:t xml:space="preserve">To further validate the photochemistry of our antenna probe, we prepared polymer films of PMMA containing </w:t>
      </w:r>
      <w:r w:rsidRPr="00BA5773">
        <w:rPr>
          <w:b/>
          <w:bCs/>
          <w:szCs w:val="24"/>
        </w:rPr>
        <w:t>1</w:t>
      </w:r>
      <w:r w:rsidRPr="00BA5773">
        <w:rPr>
          <w:szCs w:val="24"/>
        </w:rPr>
        <w:t>. In order to avoid effects related to the presence of CH</w:t>
      </w:r>
      <w:r w:rsidRPr="00BA5773">
        <w:rPr>
          <w:szCs w:val="24"/>
          <w:vertAlign w:val="subscript"/>
        </w:rPr>
        <w:t>3</w:t>
      </w:r>
      <w:r w:rsidRPr="00BA5773">
        <w:rPr>
          <w:szCs w:val="24"/>
        </w:rPr>
        <w:t>CN, the films were oven-dried at 140</w:t>
      </w:r>
      <w:r w:rsidRPr="00BA5773">
        <w:rPr>
          <w:szCs w:val="24"/>
        </w:rPr>
        <w:sym w:font="Symbol" w:char="F0B0"/>
      </w:r>
      <w:r w:rsidRPr="00BA5773">
        <w:rPr>
          <w:szCs w:val="24"/>
        </w:rPr>
        <w:t xml:space="preserve">C for 10 minutes. </w:t>
      </w:r>
      <w:r w:rsidR="005470D1" w:rsidRPr="00BA5773">
        <w:rPr>
          <w:szCs w:val="24"/>
        </w:rPr>
        <w:t>Data (</w:t>
      </w:r>
      <w:r w:rsidR="00376E3D" w:rsidRPr="00BA5773">
        <w:rPr>
          <w:szCs w:val="24"/>
        </w:rPr>
        <w:t xml:space="preserve">Figure </w:t>
      </w:r>
      <w:r w:rsidR="004C55A8" w:rsidRPr="00BA5773">
        <w:rPr>
          <w:szCs w:val="24"/>
        </w:rPr>
        <w:t>4</w:t>
      </w:r>
      <w:r w:rsidR="005470D1" w:rsidRPr="00BA5773">
        <w:rPr>
          <w:szCs w:val="24"/>
        </w:rPr>
        <w:t xml:space="preserve">) </w:t>
      </w:r>
      <w:r w:rsidR="00774121" w:rsidRPr="00BA5773">
        <w:rPr>
          <w:szCs w:val="24"/>
        </w:rPr>
        <w:t xml:space="preserve">recorded upon exposure of these films to ultraviolet light </w:t>
      </w:r>
      <w:r w:rsidR="005470D1" w:rsidRPr="00BA5773">
        <w:rPr>
          <w:szCs w:val="24"/>
        </w:rPr>
        <w:t xml:space="preserve">mirror what </w:t>
      </w:r>
      <w:r w:rsidR="00543CD3" w:rsidRPr="00BA5773">
        <w:rPr>
          <w:szCs w:val="24"/>
        </w:rPr>
        <w:t xml:space="preserve">was </w:t>
      </w:r>
      <w:r w:rsidR="005470D1" w:rsidRPr="00BA5773">
        <w:rPr>
          <w:szCs w:val="24"/>
        </w:rPr>
        <w:t>observed in a solution of PMMA in CH</w:t>
      </w:r>
      <w:r w:rsidR="005470D1" w:rsidRPr="00BA5773">
        <w:rPr>
          <w:szCs w:val="24"/>
          <w:vertAlign w:val="subscript"/>
        </w:rPr>
        <w:t>3</w:t>
      </w:r>
      <w:r w:rsidR="005470D1" w:rsidRPr="00BA5773">
        <w:rPr>
          <w:szCs w:val="24"/>
        </w:rPr>
        <w:t>CN</w:t>
      </w:r>
      <w:r w:rsidR="00543CD3" w:rsidRPr="00BA5773">
        <w:rPr>
          <w:szCs w:val="24"/>
        </w:rPr>
        <w:t>:</w:t>
      </w:r>
      <w:r w:rsidR="005470D1" w:rsidRPr="00BA5773">
        <w:rPr>
          <w:szCs w:val="24"/>
        </w:rPr>
        <w:t xml:space="preserve"> a vertical increase in fluorescence intensity during the first half of the irradiation period (indicating the formation of </w:t>
      </w:r>
      <w:r w:rsidR="005470D1" w:rsidRPr="00BA5773">
        <w:rPr>
          <w:b/>
          <w:bCs/>
          <w:szCs w:val="24"/>
        </w:rPr>
        <w:t>2</w:t>
      </w:r>
      <w:r w:rsidR="005470D1" w:rsidRPr="00BA5773">
        <w:rPr>
          <w:szCs w:val="24"/>
        </w:rPr>
        <w:t>)</w:t>
      </w:r>
      <w:r w:rsidR="00543CD3" w:rsidRPr="00BA5773">
        <w:rPr>
          <w:szCs w:val="24"/>
        </w:rPr>
        <w:t xml:space="preserve"> was</w:t>
      </w:r>
      <w:r w:rsidR="005470D1" w:rsidRPr="00BA5773">
        <w:rPr>
          <w:szCs w:val="24"/>
        </w:rPr>
        <w:t xml:space="preserve"> followed by a</w:t>
      </w:r>
      <w:r w:rsidR="00543CD3" w:rsidRPr="00BA5773">
        <w:rPr>
          <w:szCs w:val="24"/>
        </w:rPr>
        <w:t xml:space="preserve"> subsequent intensity decrease</w:t>
      </w:r>
      <w:r w:rsidR="005470D1" w:rsidRPr="00BA5773">
        <w:rPr>
          <w:szCs w:val="24"/>
        </w:rPr>
        <w:t xml:space="preserve"> and red-shift of the emission as </w:t>
      </w:r>
      <w:r w:rsidR="005470D1" w:rsidRPr="00BA5773">
        <w:rPr>
          <w:b/>
          <w:bCs/>
          <w:szCs w:val="24"/>
        </w:rPr>
        <w:t>1</w:t>
      </w:r>
      <w:r w:rsidR="005470D1" w:rsidRPr="00BA5773">
        <w:rPr>
          <w:szCs w:val="24"/>
        </w:rPr>
        <w:t xml:space="preserve"> binds to the PMMA skeleton forming adduct </w:t>
      </w:r>
      <w:r w:rsidR="005470D1" w:rsidRPr="00BA5773">
        <w:rPr>
          <w:b/>
          <w:bCs/>
          <w:szCs w:val="24"/>
        </w:rPr>
        <w:t>3</w:t>
      </w:r>
      <w:r w:rsidR="005470D1" w:rsidRPr="00BA5773">
        <w:rPr>
          <w:szCs w:val="24"/>
        </w:rPr>
        <w:t xml:space="preserve">. </w:t>
      </w:r>
    </w:p>
    <w:p w14:paraId="0C6E5CCC" w14:textId="11EA00BB" w:rsidR="00B301B0" w:rsidRPr="00BA5773" w:rsidRDefault="005C0FE8" w:rsidP="00695CAF">
      <w:pPr>
        <w:spacing w:beforeLines="120" w:before="288" w:afterLines="120" w:after="288" w:line="360" w:lineRule="auto"/>
        <w:jc w:val="center"/>
        <w:rPr>
          <w:b/>
          <w:bCs/>
          <w:sz w:val="22"/>
          <w:szCs w:val="20"/>
        </w:rPr>
      </w:pPr>
      <w:r w:rsidRPr="00BA5773">
        <w:rPr>
          <w:b/>
          <w:bCs/>
          <w:noProof/>
          <w:sz w:val="22"/>
          <w:szCs w:val="20"/>
        </w:rPr>
        <w:drawing>
          <wp:inline distT="0" distB="0" distL="0" distR="0" wp14:anchorId="592AC878" wp14:editId="1DF785C1">
            <wp:extent cx="3060000" cy="254254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7" t="6221" r="11014"/>
                    <a:stretch/>
                  </pic:blipFill>
                  <pic:spPr bwMode="auto">
                    <a:xfrm>
                      <a:off x="0" y="0"/>
                      <a:ext cx="3060000" cy="2542547"/>
                    </a:xfrm>
                    <a:prstGeom prst="rect">
                      <a:avLst/>
                    </a:prstGeom>
                    <a:noFill/>
                    <a:ln>
                      <a:noFill/>
                    </a:ln>
                    <a:extLst>
                      <a:ext uri="{53640926-AAD7-44D8-BBD7-CCE9431645EC}">
                        <a14:shadowObscured xmlns:a14="http://schemas.microsoft.com/office/drawing/2010/main"/>
                      </a:ext>
                    </a:extLst>
                  </pic:spPr>
                </pic:pic>
              </a:graphicData>
            </a:graphic>
          </wp:inline>
        </w:drawing>
      </w:r>
    </w:p>
    <w:p w14:paraId="52DCF867" w14:textId="2C8699B0" w:rsidR="00B301B0" w:rsidRPr="00BA5773" w:rsidRDefault="00B301B0" w:rsidP="00695CAF">
      <w:pPr>
        <w:spacing w:beforeLines="120" w:before="288" w:afterLines="120" w:after="288" w:line="360" w:lineRule="auto"/>
        <w:jc w:val="both"/>
        <w:rPr>
          <w:sz w:val="22"/>
          <w:szCs w:val="20"/>
        </w:rPr>
      </w:pPr>
      <w:r w:rsidRPr="00BA5773">
        <w:rPr>
          <w:b/>
          <w:bCs/>
          <w:sz w:val="22"/>
          <w:szCs w:val="20"/>
        </w:rPr>
        <w:t xml:space="preserve">Fig. </w:t>
      </w:r>
      <w:r w:rsidR="004C55A8" w:rsidRPr="00BA5773">
        <w:rPr>
          <w:b/>
          <w:bCs/>
          <w:sz w:val="22"/>
          <w:szCs w:val="20"/>
        </w:rPr>
        <w:t>4</w:t>
      </w:r>
      <w:r w:rsidRPr="00BA5773">
        <w:rPr>
          <w:b/>
          <w:bCs/>
          <w:sz w:val="22"/>
          <w:szCs w:val="20"/>
        </w:rPr>
        <w:t xml:space="preserve"> </w:t>
      </w:r>
      <w:r w:rsidRPr="00BA5773">
        <w:rPr>
          <w:sz w:val="22"/>
          <w:szCs w:val="20"/>
        </w:rPr>
        <w:t xml:space="preserve">Emission spectra of PMMA polymer films containing </w:t>
      </w:r>
      <w:r w:rsidRPr="00BA5773">
        <w:rPr>
          <w:b/>
          <w:bCs/>
          <w:sz w:val="22"/>
          <w:szCs w:val="20"/>
        </w:rPr>
        <w:t>1</w:t>
      </w:r>
      <w:r w:rsidRPr="00BA5773">
        <w:rPr>
          <w:sz w:val="22"/>
          <w:szCs w:val="20"/>
        </w:rPr>
        <w:t xml:space="preserve"> (20</w:t>
      </w:r>
      <w:r w:rsidRPr="00BA5773">
        <w:rPr>
          <w:sz w:val="22"/>
          <w:szCs w:val="20"/>
        </w:rPr>
        <w:sym w:font="Symbol" w:char="F0B0"/>
      </w:r>
      <w:r w:rsidRPr="00BA5773">
        <w:rPr>
          <w:sz w:val="22"/>
          <w:szCs w:val="20"/>
        </w:rPr>
        <w:t xml:space="preserve">C, </w:t>
      </w:r>
      <w:r w:rsidRPr="00BA5773">
        <w:rPr>
          <w:rFonts w:ascii="Symbol" w:hAnsi="Symbol"/>
          <w:sz w:val="22"/>
          <w:szCs w:val="20"/>
        </w:rPr>
        <w:t></w:t>
      </w:r>
      <w:r w:rsidRPr="00BA5773">
        <w:rPr>
          <w:sz w:val="22"/>
          <w:szCs w:val="20"/>
          <w:vertAlign w:val="subscript"/>
        </w:rPr>
        <w:t>Ex</w:t>
      </w:r>
      <w:r w:rsidRPr="00BA5773">
        <w:rPr>
          <w:sz w:val="22"/>
          <w:szCs w:val="20"/>
        </w:rPr>
        <w:t xml:space="preserve"> = 330 nm) before and after UVA irradiation (365 nm, 0</w:t>
      </w:r>
      <w:r w:rsidR="008A3E6F" w:rsidRPr="00BA5773">
        <w:rPr>
          <w:sz w:val="22"/>
          <w:szCs w:val="20"/>
        </w:rPr>
        <w:t>, 60 and 120</w:t>
      </w:r>
      <w:r w:rsidRPr="00BA5773">
        <w:rPr>
          <w:sz w:val="22"/>
          <w:szCs w:val="20"/>
        </w:rPr>
        <w:t xml:space="preserve"> min, 0.4 mW cm</w:t>
      </w:r>
      <w:r w:rsidRPr="00BA5773">
        <w:rPr>
          <w:sz w:val="22"/>
          <w:szCs w:val="20"/>
          <w:vertAlign w:val="superscript"/>
        </w:rPr>
        <w:t>–2</w:t>
      </w:r>
      <w:r w:rsidRPr="00BA5773">
        <w:rPr>
          <w:sz w:val="22"/>
          <w:szCs w:val="20"/>
        </w:rPr>
        <w:t>) under air.</w:t>
      </w:r>
    </w:p>
    <w:p w14:paraId="698C0A89" w14:textId="5A6EC0FD" w:rsidR="00BB0BDD" w:rsidRPr="00BA5773" w:rsidRDefault="00C81955" w:rsidP="00695CAF">
      <w:pPr>
        <w:spacing w:beforeLines="120" w:before="288" w:afterLines="120" w:after="288" w:line="360" w:lineRule="auto"/>
        <w:jc w:val="both"/>
      </w:pPr>
      <w:r w:rsidRPr="00BA5773">
        <w:lastRenderedPageBreak/>
        <w:t xml:space="preserve">The activation of the fluorescence of </w:t>
      </w:r>
      <w:r w:rsidRPr="00BA5773">
        <w:rPr>
          <w:b/>
          <w:bCs/>
        </w:rPr>
        <w:t>1</w:t>
      </w:r>
      <w:r w:rsidRPr="00BA5773">
        <w:t xml:space="preserve"> upon photoexcitation</w:t>
      </w:r>
      <w:r w:rsidR="00543CD3" w:rsidRPr="00BA5773">
        <w:t>,</w:t>
      </w:r>
      <w:r w:rsidRPr="00BA5773">
        <w:t xml:space="preserve"> and its addition to the PMMA matrix</w:t>
      </w:r>
      <w:r w:rsidR="00543CD3" w:rsidRPr="00BA5773">
        <w:t>,</w:t>
      </w:r>
      <w:r w:rsidRPr="00BA5773">
        <w:t xml:space="preserve"> can be exploited to imprint a desired pattern. We thus tested the ability of our probe to produce </w:t>
      </w:r>
      <w:r w:rsidR="00A86719" w:rsidRPr="00BA5773">
        <w:t xml:space="preserve">(‘write’) </w:t>
      </w:r>
      <w:r w:rsidRPr="00BA5773">
        <w:t xml:space="preserve">a patterned fluorescent image </w:t>
      </w:r>
      <w:r w:rsidR="00A86719" w:rsidRPr="00BA5773">
        <w:t>which can be subsequently detected (‘read’) under U</w:t>
      </w:r>
      <w:r w:rsidR="007C593C" w:rsidRPr="00BA5773">
        <w:t>V</w:t>
      </w:r>
      <w:r w:rsidR="00A86719" w:rsidRPr="00BA5773">
        <w:t xml:space="preserve"> excitation. </w:t>
      </w:r>
      <w:r w:rsidR="00543CD3" w:rsidRPr="00BA5773">
        <w:t>Owing</w:t>
      </w:r>
      <w:r w:rsidR="00A86719" w:rsidRPr="00BA5773">
        <w:t xml:space="preserve"> to the </w:t>
      </w:r>
      <w:r w:rsidR="00FA2229" w:rsidRPr="00BA5773">
        <w:t>thermoplastic</w:t>
      </w:r>
      <w:r w:rsidR="00A86719" w:rsidRPr="00BA5773">
        <w:t xml:space="preserve"> properties of </w:t>
      </w:r>
      <w:r w:rsidR="00543CD3" w:rsidRPr="00BA5773">
        <w:t>PMMA</w:t>
      </w:r>
      <w:r w:rsidR="00A86719" w:rsidRPr="00BA5773">
        <w:t xml:space="preserve">, which is known to become pliable at </w:t>
      </w:r>
      <w:r w:rsidR="00543CD3" w:rsidRPr="00BA5773">
        <w:t>elevated</w:t>
      </w:r>
      <w:r w:rsidR="00A86719" w:rsidRPr="00BA5773">
        <w:t xml:space="preserve"> temperature</w:t>
      </w:r>
      <w:r w:rsidR="00543CD3" w:rsidRPr="00BA5773">
        <w:t>s</w:t>
      </w:r>
      <w:r w:rsidR="00A86719" w:rsidRPr="00BA5773">
        <w:t xml:space="preserve"> and </w:t>
      </w:r>
      <w:r w:rsidR="007B6ADD" w:rsidRPr="00BA5773">
        <w:t>harden</w:t>
      </w:r>
      <w:r w:rsidR="00A86719" w:rsidRPr="00BA5773">
        <w:t xml:space="preserve"> upon cooling, fluorophores that have been activated in </w:t>
      </w:r>
      <w:r w:rsidR="00283E01" w:rsidRPr="00BA5773">
        <w:t xml:space="preserve">a confined (patterned) space can </w:t>
      </w:r>
      <w:r w:rsidR="00543CD3" w:rsidRPr="00BA5773">
        <w:t xml:space="preserve">then </w:t>
      </w:r>
      <w:r w:rsidR="00283E01" w:rsidRPr="00BA5773">
        <w:t>be</w:t>
      </w:r>
      <w:r w:rsidR="00543CD3" w:rsidRPr="00BA5773">
        <w:t xml:space="preserve"> thermally</w:t>
      </w:r>
      <w:r w:rsidR="00283E01" w:rsidRPr="00BA5773">
        <w:t xml:space="preserve"> dispersed over the </w:t>
      </w:r>
      <w:r w:rsidR="00543CD3" w:rsidRPr="00BA5773">
        <w:t>entire</w:t>
      </w:r>
      <w:r w:rsidR="00283E01" w:rsidRPr="00BA5773">
        <w:t xml:space="preserve"> substrate area, causing the loss of the pattern (‘eras</w:t>
      </w:r>
      <w:r w:rsidR="009047BF" w:rsidRPr="00BA5773">
        <w:t>e</w:t>
      </w:r>
      <w:r w:rsidR="00283E01" w:rsidRPr="00BA5773">
        <w:t xml:space="preserve">’). </w:t>
      </w:r>
      <w:r w:rsidR="00543CD3" w:rsidRPr="00BA5773">
        <w:t>Indeed, i</w:t>
      </w:r>
      <w:r w:rsidR="00283E01" w:rsidRPr="00BA5773">
        <w:t xml:space="preserve">rradiation of a PMMA film of </w:t>
      </w:r>
      <w:r w:rsidR="00283E01" w:rsidRPr="00BA5773">
        <w:rPr>
          <w:b/>
          <w:bCs/>
        </w:rPr>
        <w:t>1</w:t>
      </w:r>
      <w:r w:rsidR="00283E01" w:rsidRPr="00BA5773">
        <w:t xml:space="preserve"> at 365 nm through a </w:t>
      </w:r>
      <w:r w:rsidR="00774121" w:rsidRPr="00BA5773">
        <w:t xml:space="preserve">homemade </w:t>
      </w:r>
      <w:r w:rsidR="00283E01" w:rsidRPr="00BA5773">
        <w:t xml:space="preserve">stencil for </w:t>
      </w:r>
      <w:r w:rsidR="00E172DF" w:rsidRPr="00BA5773">
        <w:t xml:space="preserve">60 </w:t>
      </w:r>
      <w:r w:rsidR="00283E01" w:rsidRPr="00BA5773">
        <w:t>minutes encourages the</w:t>
      </w:r>
      <w:r w:rsidR="00005CD6" w:rsidRPr="00BA5773">
        <w:t xml:space="preserve"> activation of its fluorescence exclusively </w:t>
      </w:r>
      <w:r w:rsidR="00283E01" w:rsidRPr="00BA5773">
        <w:t>in the irradiated area, meanwhile producing a fluorescent image (</w:t>
      </w:r>
      <w:r w:rsidR="002E6681" w:rsidRPr="00BA5773">
        <w:rPr>
          <w:b/>
          <w:bCs/>
        </w:rPr>
        <w:t>C</w:t>
      </w:r>
      <w:r w:rsidR="00283E01" w:rsidRPr="00BA5773">
        <w:t xml:space="preserve"> in Fig</w:t>
      </w:r>
      <w:r w:rsidR="00906C0B" w:rsidRPr="00BA5773">
        <w:t>ure</w:t>
      </w:r>
      <w:r w:rsidR="00283E01" w:rsidRPr="00BA5773">
        <w:t xml:space="preserve"> </w:t>
      </w:r>
      <w:r w:rsidR="00F04126" w:rsidRPr="00BA5773">
        <w:t>5</w:t>
      </w:r>
      <w:r w:rsidR="00283E01" w:rsidRPr="00BA5773">
        <w:t>)</w:t>
      </w:r>
      <w:r w:rsidR="00005CD6" w:rsidRPr="00BA5773">
        <w:t xml:space="preserve">. </w:t>
      </w:r>
      <w:r w:rsidR="007C593C" w:rsidRPr="00BA5773">
        <w:t xml:space="preserve">The bright region in Figure </w:t>
      </w:r>
      <w:r w:rsidR="00F04126" w:rsidRPr="00BA5773">
        <w:t>5</w:t>
      </w:r>
      <w:r w:rsidR="002E6681" w:rsidRPr="00BA5773">
        <w:t>C</w:t>
      </w:r>
      <w:r w:rsidR="007C593C" w:rsidRPr="00BA5773">
        <w:t xml:space="preserve"> correspond</w:t>
      </w:r>
      <w:r w:rsidR="006F629D" w:rsidRPr="00BA5773">
        <w:t>s</w:t>
      </w:r>
      <w:r w:rsidR="007C593C" w:rsidRPr="00BA5773">
        <w:t xml:space="preserve"> to the area where </w:t>
      </w:r>
      <w:r w:rsidR="007C593C" w:rsidRPr="00BA5773">
        <w:rPr>
          <w:b/>
          <w:bCs/>
        </w:rPr>
        <w:t>1</w:t>
      </w:r>
      <w:r w:rsidR="007C593C" w:rsidRPr="00BA5773">
        <w:t xml:space="preserve"> has been photosensitized to abstract a hydrogen atom from and bind to the polymer, as </w:t>
      </w:r>
      <w:r w:rsidR="00906C0B" w:rsidRPr="00BA5773">
        <w:t>discussed</w:t>
      </w:r>
      <w:r w:rsidR="007C593C" w:rsidRPr="00BA5773">
        <w:t xml:space="preserve"> above. </w:t>
      </w:r>
      <w:r w:rsidR="00005CD6" w:rsidRPr="00BA5773">
        <w:t xml:space="preserve">The patterned film was then heated at </w:t>
      </w:r>
      <w:r w:rsidR="00EA5719" w:rsidRPr="00BA5773">
        <w:t>150</w:t>
      </w:r>
      <w:r w:rsidR="00005CD6" w:rsidRPr="00BA5773">
        <w:rPr>
          <w:rFonts w:cs="Times New Roman"/>
        </w:rPr>
        <w:t>º</w:t>
      </w:r>
      <w:r w:rsidR="00005CD6" w:rsidRPr="00BA5773">
        <w:t xml:space="preserve">C for </w:t>
      </w:r>
      <w:r w:rsidR="00EA5719" w:rsidRPr="00BA5773">
        <w:t>60</w:t>
      </w:r>
      <w:r w:rsidR="00005CD6" w:rsidRPr="00BA5773">
        <w:t xml:space="preserve"> minutes and cooled back to room temperature. While </w:t>
      </w:r>
      <w:r w:rsidR="00283E01" w:rsidRPr="00BA5773">
        <w:t>diffusion is usually considered undesirable in patterning applications, herein we actually use</w:t>
      </w:r>
      <w:r w:rsidR="006F629D" w:rsidRPr="00BA5773">
        <w:t>d</w:t>
      </w:r>
      <w:r w:rsidR="00283E01" w:rsidRPr="00BA5773">
        <w:t xml:space="preserve"> diffusion of the activated probes to ‘erase’ </w:t>
      </w:r>
      <w:r w:rsidR="00005CD6" w:rsidRPr="00BA5773">
        <w:t>our</w:t>
      </w:r>
      <w:r w:rsidR="00283E01" w:rsidRPr="00BA5773">
        <w:t xml:space="preserve"> image</w:t>
      </w:r>
      <w:r w:rsidR="00B07BA1" w:rsidRPr="00BA5773">
        <w:t xml:space="preserve"> (</w:t>
      </w:r>
      <w:r w:rsidR="002E6681" w:rsidRPr="00BA5773">
        <w:rPr>
          <w:b/>
          <w:bCs/>
        </w:rPr>
        <w:t>D</w:t>
      </w:r>
      <w:r w:rsidR="00B07BA1" w:rsidRPr="00BA5773">
        <w:t xml:space="preserve"> in Fig</w:t>
      </w:r>
      <w:r w:rsidR="00906C0B" w:rsidRPr="00BA5773">
        <w:t>ure</w:t>
      </w:r>
      <w:r w:rsidR="00B07BA1" w:rsidRPr="00BA5773">
        <w:t xml:space="preserve"> </w:t>
      </w:r>
      <w:r w:rsidR="00F04126" w:rsidRPr="00BA5773">
        <w:t>5</w:t>
      </w:r>
      <w:r w:rsidR="00B07BA1" w:rsidRPr="00BA5773">
        <w:t>)</w:t>
      </w:r>
      <w:r w:rsidR="00283E01" w:rsidRPr="00BA5773">
        <w:t xml:space="preserve">. Although the chemistry is not reversed, </w:t>
      </w:r>
      <w:r w:rsidR="00005CD6" w:rsidRPr="00BA5773">
        <w:t xml:space="preserve">the fluorescent products </w:t>
      </w:r>
      <w:r w:rsidR="006F629D" w:rsidRPr="00BA5773">
        <w:t>are</w:t>
      </w:r>
      <w:r w:rsidR="00005CD6" w:rsidRPr="00BA5773">
        <w:t xml:space="preserve"> </w:t>
      </w:r>
      <w:r w:rsidR="002E4E96" w:rsidRPr="00BA5773">
        <w:t>re</w:t>
      </w:r>
      <w:r w:rsidR="00005CD6" w:rsidRPr="00BA5773">
        <w:t>dispersed throughout the film upon heating above the glass transition temperature (T</w:t>
      </w:r>
      <w:r w:rsidR="00005CD6" w:rsidRPr="00BA5773">
        <w:rPr>
          <w:vertAlign w:val="subscript"/>
        </w:rPr>
        <w:t>g</w:t>
      </w:r>
      <w:r w:rsidR="00005CD6" w:rsidRPr="00BA5773">
        <w:t>) of PMMA</w:t>
      </w:r>
      <w:r w:rsidR="002C52FF" w:rsidRPr="00BA5773">
        <w:t xml:space="preserve"> (105-</w:t>
      </w:r>
      <w:r w:rsidR="00542B26" w:rsidRPr="00BA5773">
        <w:t>1</w:t>
      </w:r>
      <w:r w:rsidR="002C52FF" w:rsidRPr="00BA5773">
        <w:t>40 °C)</w:t>
      </w:r>
      <w:r w:rsidR="005465A8" w:rsidRPr="00BA5773">
        <w:t>.</w:t>
      </w:r>
      <w:r w:rsidR="005465A8" w:rsidRPr="00BA5773">
        <w:rPr>
          <w:vertAlign w:val="superscript"/>
        </w:rPr>
        <w:t>[58]</w:t>
      </w:r>
    </w:p>
    <w:p w14:paraId="465DFF91" w14:textId="4D52020D" w:rsidR="00060686" w:rsidRPr="00BA5773" w:rsidRDefault="00372689" w:rsidP="00E6252D">
      <w:pPr>
        <w:spacing w:beforeLines="120" w:before="288" w:afterLines="120" w:after="288" w:line="360" w:lineRule="auto"/>
        <w:jc w:val="center"/>
      </w:pPr>
      <w:r>
        <w:rPr>
          <w:noProof/>
        </w:rPr>
        <w:drawing>
          <wp:inline distT="0" distB="0" distL="0" distR="0" wp14:anchorId="39996219" wp14:editId="093BD360">
            <wp:extent cx="6098982" cy="2712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1" t="220" b="44"/>
                    <a:stretch/>
                  </pic:blipFill>
                  <pic:spPr bwMode="auto">
                    <a:xfrm>
                      <a:off x="0" y="0"/>
                      <a:ext cx="6101588" cy="2713244"/>
                    </a:xfrm>
                    <a:prstGeom prst="rect">
                      <a:avLst/>
                    </a:prstGeom>
                    <a:noFill/>
                    <a:ln>
                      <a:noFill/>
                    </a:ln>
                    <a:extLst>
                      <a:ext uri="{53640926-AAD7-44D8-BBD7-CCE9431645EC}">
                        <a14:shadowObscured xmlns:a14="http://schemas.microsoft.com/office/drawing/2010/main"/>
                      </a:ext>
                    </a:extLst>
                  </pic:spPr>
                </pic:pic>
              </a:graphicData>
            </a:graphic>
          </wp:inline>
        </w:drawing>
      </w:r>
    </w:p>
    <w:p w14:paraId="3BD062FD" w14:textId="05819889" w:rsidR="00F5521C" w:rsidRDefault="00F5521C" w:rsidP="00695CAF">
      <w:pPr>
        <w:spacing w:beforeLines="120" w:before="288" w:afterLines="120" w:after="288" w:line="360" w:lineRule="auto"/>
        <w:jc w:val="both"/>
        <w:rPr>
          <w:sz w:val="22"/>
          <w:szCs w:val="20"/>
        </w:rPr>
      </w:pPr>
      <w:r w:rsidRPr="00BA5773">
        <w:rPr>
          <w:b/>
          <w:bCs/>
          <w:sz w:val="22"/>
          <w:szCs w:val="20"/>
        </w:rPr>
        <w:t xml:space="preserve">Fig. </w:t>
      </w:r>
      <w:r w:rsidR="00F04126" w:rsidRPr="00BA5773">
        <w:rPr>
          <w:b/>
          <w:bCs/>
          <w:sz w:val="22"/>
          <w:szCs w:val="20"/>
        </w:rPr>
        <w:t>5</w:t>
      </w:r>
      <w:r w:rsidRPr="00BA5773">
        <w:rPr>
          <w:b/>
          <w:bCs/>
          <w:sz w:val="22"/>
          <w:szCs w:val="20"/>
        </w:rPr>
        <w:t xml:space="preserve"> </w:t>
      </w:r>
      <w:r w:rsidRPr="00BA5773">
        <w:rPr>
          <w:sz w:val="22"/>
          <w:szCs w:val="20"/>
        </w:rPr>
        <w:t xml:space="preserve">The writing-erasing approach. Photographs of PMMA films doped with </w:t>
      </w:r>
      <w:r w:rsidRPr="00BA5773">
        <w:rPr>
          <w:b/>
          <w:bCs/>
          <w:sz w:val="22"/>
          <w:szCs w:val="20"/>
        </w:rPr>
        <w:t>1</w:t>
      </w:r>
      <w:r w:rsidRPr="00BA5773">
        <w:rPr>
          <w:sz w:val="22"/>
          <w:szCs w:val="20"/>
        </w:rPr>
        <w:t xml:space="preserve"> (0.5 mM) before (</w:t>
      </w:r>
      <w:r w:rsidR="002E6681" w:rsidRPr="00BA5773">
        <w:rPr>
          <w:b/>
          <w:bCs/>
          <w:sz w:val="22"/>
          <w:szCs w:val="20"/>
        </w:rPr>
        <w:t>B</w:t>
      </w:r>
      <w:r w:rsidRPr="00BA5773">
        <w:rPr>
          <w:sz w:val="22"/>
          <w:szCs w:val="20"/>
        </w:rPr>
        <w:t>) and after (</w:t>
      </w:r>
      <w:r w:rsidR="002E6681" w:rsidRPr="00BA5773">
        <w:rPr>
          <w:b/>
          <w:bCs/>
          <w:sz w:val="22"/>
          <w:szCs w:val="20"/>
        </w:rPr>
        <w:t>C</w:t>
      </w:r>
      <w:r w:rsidRPr="00BA5773">
        <w:rPr>
          <w:sz w:val="22"/>
          <w:szCs w:val="20"/>
        </w:rPr>
        <w:t xml:space="preserve">) exposure at 365 nm for </w:t>
      </w:r>
      <w:r w:rsidR="00E172DF" w:rsidRPr="00BA5773">
        <w:rPr>
          <w:sz w:val="22"/>
          <w:szCs w:val="20"/>
        </w:rPr>
        <w:t xml:space="preserve">60 </w:t>
      </w:r>
      <w:r w:rsidRPr="00BA5773">
        <w:rPr>
          <w:sz w:val="22"/>
          <w:szCs w:val="20"/>
        </w:rPr>
        <w:t>min through a patterned mask</w:t>
      </w:r>
      <w:r w:rsidR="00E172DF" w:rsidRPr="00BA5773">
        <w:rPr>
          <w:sz w:val="22"/>
          <w:szCs w:val="20"/>
        </w:rPr>
        <w:t xml:space="preserve"> (</w:t>
      </w:r>
      <w:r w:rsidR="002E6681" w:rsidRPr="00BA5773">
        <w:rPr>
          <w:b/>
          <w:bCs/>
          <w:sz w:val="22"/>
          <w:szCs w:val="20"/>
        </w:rPr>
        <w:t>A</w:t>
      </w:r>
      <w:r w:rsidR="00E172DF" w:rsidRPr="00BA5773">
        <w:rPr>
          <w:sz w:val="22"/>
          <w:szCs w:val="20"/>
        </w:rPr>
        <w:t>)</w:t>
      </w:r>
      <w:r w:rsidRPr="00BA5773">
        <w:rPr>
          <w:sz w:val="22"/>
          <w:szCs w:val="20"/>
        </w:rPr>
        <w:t>. (</w:t>
      </w:r>
      <w:r w:rsidR="002E6681" w:rsidRPr="00BA5773">
        <w:rPr>
          <w:b/>
          <w:bCs/>
          <w:sz w:val="22"/>
          <w:szCs w:val="20"/>
        </w:rPr>
        <w:t>D</w:t>
      </w:r>
      <w:r w:rsidRPr="00BA5773">
        <w:rPr>
          <w:sz w:val="22"/>
          <w:szCs w:val="20"/>
        </w:rPr>
        <w:t xml:space="preserve">) was recorded after heating the sample at </w:t>
      </w:r>
      <w:r w:rsidR="00BA1EAF" w:rsidRPr="00BA5773">
        <w:rPr>
          <w:sz w:val="22"/>
          <w:szCs w:val="20"/>
        </w:rPr>
        <w:t>150</w:t>
      </w:r>
      <w:r w:rsidRPr="00BA5773">
        <w:rPr>
          <w:sz w:val="22"/>
          <w:szCs w:val="20"/>
        </w:rPr>
        <w:t xml:space="preserve">ºC for </w:t>
      </w:r>
      <w:r w:rsidR="00BA1EAF" w:rsidRPr="00BA5773">
        <w:rPr>
          <w:sz w:val="22"/>
          <w:szCs w:val="20"/>
        </w:rPr>
        <w:t>60</w:t>
      </w:r>
      <w:r w:rsidRPr="00BA5773">
        <w:rPr>
          <w:sz w:val="22"/>
          <w:szCs w:val="20"/>
        </w:rPr>
        <w:t xml:space="preserve"> minutes. </w:t>
      </w:r>
    </w:p>
    <w:p w14:paraId="7AA459A4" w14:textId="22566048" w:rsidR="00F5521C" w:rsidRPr="00BA5773" w:rsidRDefault="00F5521C" w:rsidP="00695CAF">
      <w:pPr>
        <w:spacing w:beforeLines="120" w:before="288" w:afterLines="120" w:after="288" w:line="360" w:lineRule="auto"/>
        <w:jc w:val="both"/>
        <w:rPr>
          <w:sz w:val="22"/>
          <w:szCs w:val="20"/>
        </w:rPr>
      </w:pPr>
      <w:r w:rsidRPr="00BA5773">
        <w:rPr>
          <w:b/>
          <w:bCs/>
          <w:sz w:val="28"/>
          <w:szCs w:val="24"/>
        </w:rPr>
        <w:lastRenderedPageBreak/>
        <w:t>Conclusions</w:t>
      </w:r>
    </w:p>
    <w:p w14:paraId="56086F8D" w14:textId="25B6EA39" w:rsidR="008D0063" w:rsidRPr="00BA5773" w:rsidRDefault="00A046A8" w:rsidP="00695CAF">
      <w:pPr>
        <w:spacing w:beforeLines="120" w:before="288" w:afterLines="120" w:after="288" w:line="360" w:lineRule="auto"/>
        <w:jc w:val="both"/>
      </w:pPr>
      <w:r w:rsidRPr="00BA5773">
        <w:t>A quinoline chromophore tethered to a nitroxide enables the photochemical sensitization of the latter via energy transfer upon mild excitation with ultraviolet light. The sensitized TEMPO undergoes hydrogen abstraction</w:t>
      </w:r>
      <w:r w:rsidR="006F629D" w:rsidRPr="00BA5773">
        <w:t xml:space="preserve">, thereby </w:t>
      </w:r>
      <w:r w:rsidR="00DA69DF" w:rsidRPr="00BA5773">
        <w:t>restoring</w:t>
      </w:r>
      <w:r w:rsidR="006F629D" w:rsidRPr="00BA5773">
        <w:t xml:space="preserve"> fluorescence</w:t>
      </w:r>
      <w:r w:rsidRPr="00BA5773">
        <w:t>. In the presence of poly(methyl methacrylate), the hydrogen is abstracted from the polymer matrix, and subsequent linkage of the dye-nitroxide to the polymer skeleton occurs. In all cases, trapping of hydrogens or carbon-centered radicals by TEMPO converts the</w:t>
      </w:r>
      <w:r w:rsidR="005D1C71" w:rsidRPr="00BA5773">
        <w:t xml:space="preserve"> paramagnetic reagent into a diamagnetic product, thereby eliminating the intramolecular quenching pathway and resulting in</w:t>
      </w:r>
      <w:r w:rsidRPr="00BA5773">
        <w:t xml:space="preserve"> </w:t>
      </w:r>
      <w:r w:rsidR="005D1C71" w:rsidRPr="00BA5773">
        <w:t xml:space="preserve">the </w:t>
      </w:r>
      <w:r w:rsidR="00DA69DF" w:rsidRPr="00BA5773">
        <w:t>re</w:t>
      </w:r>
      <w:r w:rsidR="005D1C71" w:rsidRPr="00BA5773">
        <w:t xml:space="preserve">activation of the </w:t>
      </w:r>
      <w:r w:rsidRPr="00BA5773">
        <w:t xml:space="preserve">fluorescence </w:t>
      </w:r>
      <w:r w:rsidR="005D1C71" w:rsidRPr="00BA5773">
        <w:t>of the quinoline dye</w:t>
      </w:r>
      <w:r w:rsidR="00193D2B" w:rsidRPr="00BA5773">
        <w:t xml:space="preserve">, as well as the formation of a fluorescent polymer. Our results also provide an opportunity to reflect on electronic factors affecting the relative stability of the chromophore-TEMPO dyad and the photochemically generated </w:t>
      </w:r>
      <w:r w:rsidR="00193D2B" w:rsidRPr="00BA5773">
        <w:rPr>
          <w:i/>
          <w:iCs/>
        </w:rPr>
        <w:t>N</w:t>
      </w:r>
      <w:r w:rsidR="00193D2B" w:rsidRPr="00BA5773">
        <w:t xml:space="preserve">-hydroxylamines or </w:t>
      </w:r>
      <w:r w:rsidR="00193D2B" w:rsidRPr="00BA5773">
        <w:rPr>
          <w:i/>
          <w:iCs/>
        </w:rPr>
        <w:t>N</w:t>
      </w:r>
      <w:r w:rsidR="00193D2B" w:rsidRPr="00BA5773">
        <w:t xml:space="preserve">-alkoxyamines, as well as to provide insights on the intramolecular sensitization processes at work. The functionalization of PMMA with the probe can be exploited for the patterning (writing) of fluorescent images. The writing process can be ultimately reverted through thermal </w:t>
      </w:r>
      <w:r w:rsidR="009A12F7" w:rsidRPr="00BA5773">
        <w:t>treatment</w:t>
      </w:r>
      <w:r w:rsidR="00193D2B" w:rsidRPr="00BA5773">
        <w:t xml:space="preserve"> of the polymer matrix, which disperses the activated molecule within the support and regenerates a clean surface. </w:t>
      </w:r>
    </w:p>
    <w:p w14:paraId="0A4149B9" w14:textId="3E13B1A6" w:rsidR="000B0D13" w:rsidRDefault="000B0D13" w:rsidP="00695CAF">
      <w:pPr>
        <w:spacing w:beforeLines="120" w:before="288" w:afterLines="120" w:after="288" w:line="360" w:lineRule="auto"/>
        <w:jc w:val="both"/>
        <w:rPr>
          <w:b/>
          <w:sz w:val="28"/>
          <w:szCs w:val="24"/>
        </w:rPr>
      </w:pPr>
      <w:r>
        <w:rPr>
          <w:b/>
          <w:sz w:val="28"/>
          <w:szCs w:val="24"/>
        </w:rPr>
        <w:t>Supporting Information Summary</w:t>
      </w:r>
    </w:p>
    <w:p w14:paraId="1492FE74" w14:textId="37B7E58E" w:rsidR="000B0D13" w:rsidRPr="000B0D13" w:rsidRDefault="000B0D13" w:rsidP="000B0D13">
      <w:pPr>
        <w:spacing w:beforeLines="120" w:before="288" w:afterLines="120" w:after="288" w:line="360" w:lineRule="auto"/>
        <w:jc w:val="both"/>
        <w:rPr>
          <w:bCs/>
        </w:rPr>
      </w:pPr>
      <w:r w:rsidRPr="000B0D13">
        <w:rPr>
          <w:bCs/>
        </w:rPr>
        <w:t xml:space="preserve">Absorption and emission spectra of </w:t>
      </w:r>
      <w:r w:rsidRPr="00C2463A">
        <w:rPr>
          <w:b/>
        </w:rPr>
        <w:t>1</w:t>
      </w:r>
      <w:r w:rsidRPr="000B0D13">
        <w:rPr>
          <w:bCs/>
        </w:rPr>
        <w:t xml:space="preserve"> in CH</w:t>
      </w:r>
      <w:r w:rsidRPr="00C2463A">
        <w:rPr>
          <w:bCs/>
          <w:vertAlign w:val="subscript"/>
        </w:rPr>
        <w:t>3</w:t>
      </w:r>
      <w:r w:rsidRPr="000B0D13">
        <w:rPr>
          <w:bCs/>
        </w:rPr>
        <w:t>CN irradiated at 365 nm</w:t>
      </w:r>
      <w:r>
        <w:rPr>
          <w:bCs/>
        </w:rPr>
        <w:t xml:space="preserve">; </w:t>
      </w:r>
      <w:r w:rsidRPr="000B0D13">
        <w:rPr>
          <w:bCs/>
        </w:rPr>
        <w:t xml:space="preserve">Emission spectra of </w:t>
      </w:r>
      <w:r w:rsidRPr="00C2463A">
        <w:rPr>
          <w:b/>
        </w:rPr>
        <w:t>Q</w:t>
      </w:r>
      <w:r w:rsidRPr="000B0D13">
        <w:rPr>
          <w:bCs/>
        </w:rPr>
        <w:t xml:space="preserve"> and </w:t>
      </w:r>
      <w:r w:rsidRPr="00C2463A">
        <w:rPr>
          <w:b/>
        </w:rPr>
        <w:t>1</w:t>
      </w:r>
      <w:r w:rsidRPr="000B0D13">
        <w:rPr>
          <w:bCs/>
        </w:rPr>
        <w:t xml:space="preserve"> in CH</w:t>
      </w:r>
      <w:r w:rsidRPr="00C2463A">
        <w:rPr>
          <w:bCs/>
          <w:vertAlign w:val="subscript"/>
        </w:rPr>
        <w:t>3</w:t>
      </w:r>
      <w:r w:rsidRPr="000B0D13">
        <w:rPr>
          <w:bCs/>
        </w:rPr>
        <w:t>CN</w:t>
      </w:r>
      <w:r>
        <w:rPr>
          <w:bCs/>
        </w:rPr>
        <w:t xml:space="preserve">; </w:t>
      </w:r>
      <w:r w:rsidRPr="000B0D13">
        <w:rPr>
          <w:bCs/>
        </w:rPr>
        <w:t xml:space="preserve">Absorption and emission spectra of </w:t>
      </w:r>
      <w:r w:rsidRPr="00C2463A">
        <w:rPr>
          <w:b/>
        </w:rPr>
        <w:t>1</w:t>
      </w:r>
      <w:r w:rsidRPr="000B0D13">
        <w:rPr>
          <w:bCs/>
        </w:rPr>
        <w:t xml:space="preserve"> in C</w:t>
      </w:r>
      <w:r w:rsidRPr="00C2463A">
        <w:rPr>
          <w:bCs/>
          <w:vertAlign w:val="subscript"/>
        </w:rPr>
        <w:t>6</w:t>
      </w:r>
      <w:r w:rsidRPr="000B0D13">
        <w:rPr>
          <w:bCs/>
        </w:rPr>
        <w:t>H</w:t>
      </w:r>
      <w:r w:rsidRPr="00C2463A">
        <w:rPr>
          <w:bCs/>
          <w:vertAlign w:val="subscript"/>
        </w:rPr>
        <w:t>6</w:t>
      </w:r>
      <w:r w:rsidRPr="000B0D13">
        <w:rPr>
          <w:bCs/>
        </w:rPr>
        <w:t xml:space="preserve"> irradiated at 365 nm</w:t>
      </w:r>
      <w:r>
        <w:rPr>
          <w:bCs/>
        </w:rPr>
        <w:t xml:space="preserve">; </w:t>
      </w:r>
      <w:r w:rsidRPr="000B0D13">
        <w:rPr>
          <w:bCs/>
        </w:rPr>
        <w:t xml:space="preserve">Absorption spectra of </w:t>
      </w:r>
      <w:r w:rsidRPr="00C2463A">
        <w:rPr>
          <w:b/>
        </w:rPr>
        <w:t>1</w:t>
      </w:r>
      <w:r w:rsidRPr="000B0D13">
        <w:rPr>
          <w:bCs/>
        </w:rPr>
        <w:t xml:space="preserve"> in CH</w:t>
      </w:r>
      <w:r w:rsidRPr="00C2463A">
        <w:rPr>
          <w:bCs/>
          <w:vertAlign w:val="subscript"/>
        </w:rPr>
        <w:t>3</w:t>
      </w:r>
      <w:r w:rsidRPr="000B0D13">
        <w:rPr>
          <w:bCs/>
        </w:rPr>
        <w:t>CN irradiated at 365 nm under N</w:t>
      </w:r>
      <w:r w:rsidRPr="00C2463A">
        <w:rPr>
          <w:bCs/>
          <w:vertAlign w:val="subscript"/>
        </w:rPr>
        <w:t>2</w:t>
      </w:r>
      <w:r w:rsidRPr="000B0D13">
        <w:rPr>
          <w:bCs/>
        </w:rPr>
        <w:t xml:space="preserve"> atmosphere</w:t>
      </w:r>
      <w:r>
        <w:rPr>
          <w:bCs/>
        </w:rPr>
        <w:t xml:space="preserve">; </w:t>
      </w:r>
      <w:r w:rsidRPr="000B0D13">
        <w:rPr>
          <w:bCs/>
        </w:rPr>
        <w:t xml:space="preserve">Emission spectra of </w:t>
      </w:r>
      <w:r w:rsidRPr="00C2463A">
        <w:rPr>
          <w:b/>
        </w:rPr>
        <w:t>1</w:t>
      </w:r>
      <w:r w:rsidRPr="000B0D13">
        <w:rPr>
          <w:bCs/>
        </w:rPr>
        <w:t xml:space="preserve"> irradiated after 60 minutes under N</w:t>
      </w:r>
      <w:r w:rsidRPr="00C2463A">
        <w:rPr>
          <w:bCs/>
          <w:vertAlign w:val="subscript"/>
        </w:rPr>
        <w:t>2</w:t>
      </w:r>
      <w:r w:rsidRPr="000B0D13">
        <w:rPr>
          <w:bCs/>
        </w:rPr>
        <w:t xml:space="preserve"> and </w:t>
      </w:r>
      <w:r w:rsidRPr="00C2463A">
        <w:rPr>
          <w:b/>
        </w:rPr>
        <w:t>4</w:t>
      </w:r>
      <w:r>
        <w:rPr>
          <w:bCs/>
        </w:rPr>
        <w:t xml:space="preserve">; </w:t>
      </w:r>
      <w:r w:rsidRPr="000B0D13">
        <w:rPr>
          <w:bCs/>
        </w:rPr>
        <w:t xml:space="preserve">GC analysis of a 1.4 mg/mL solution of </w:t>
      </w:r>
      <w:r w:rsidRPr="00C2463A">
        <w:rPr>
          <w:b/>
        </w:rPr>
        <w:t>1</w:t>
      </w:r>
      <w:r w:rsidRPr="000B0D13">
        <w:rPr>
          <w:bCs/>
        </w:rPr>
        <w:t xml:space="preserve"> before and after irradiation</w:t>
      </w:r>
      <w:r>
        <w:rPr>
          <w:bCs/>
        </w:rPr>
        <w:t xml:space="preserve">; </w:t>
      </w:r>
      <w:r w:rsidRPr="000B0D13">
        <w:rPr>
          <w:bCs/>
        </w:rPr>
        <w:t xml:space="preserve">MS analysis of the product obtained after irradiation </w:t>
      </w:r>
      <w:r w:rsidR="00C54226">
        <w:rPr>
          <w:bCs/>
        </w:rPr>
        <w:t xml:space="preserve">of </w:t>
      </w:r>
      <w:r w:rsidRPr="000B0D13">
        <w:rPr>
          <w:bCs/>
        </w:rPr>
        <w:t>a 1.4 mg/mL solution of</w:t>
      </w:r>
      <w:r w:rsidR="00C2463A">
        <w:rPr>
          <w:bCs/>
        </w:rPr>
        <w:t xml:space="preserve"> </w:t>
      </w:r>
      <w:r w:rsidR="00C2463A" w:rsidRPr="00C2463A">
        <w:rPr>
          <w:b/>
        </w:rPr>
        <w:t>1</w:t>
      </w:r>
      <w:r>
        <w:rPr>
          <w:bCs/>
        </w:rPr>
        <w:t xml:space="preserve">; </w:t>
      </w:r>
      <w:r w:rsidRPr="000B0D13">
        <w:rPr>
          <w:bCs/>
        </w:rPr>
        <w:t xml:space="preserve">FTIR spectra of </w:t>
      </w:r>
      <w:r w:rsidRPr="00C2463A">
        <w:rPr>
          <w:b/>
        </w:rPr>
        <w:t>1</w:t>
      </w:r>
      <w:r w:rsidRPr="000B0D13">
        <w:rPr>
          <w:bCs/>
        </w:rPr>
        <w:t xml:space="preserve"> before and after irradiation at 365 nm in CH</w:t>
      </w:r>
      <w:r w:rsidRPr="00C2463A">
        <w:rPr>
          <w:bCs/>
          <w:vertAlign w:val="subscript"/>
        </w:rPr>
        <w:t>3</w:t>
      </w:r>
      <w:r w:rsidRPr="000B0D13">
        <w:rPr>
          <w:bCs/>
        </w:rPr>
        <w:t>CN under N</w:t>
      </w:r>
      <w:r w:rsidRPr="00C2463A">
        <w:rPr>
          <w:bCs/>
          <w:vertAlign w:val="subscript"/>
        </w:rPr>
        <w:t>2</w:t>
      </w:r>
      <w:r>
        <w:rPr>
          <w:bCs/>
        </w:rPr>
        <w:t xml:space="preserve">; </w:t>
      </w:r>
      <w:r w:rsidRPr="000B0D13">
        <w:rPr>
          <w:bCs/>
        </w:rPr>
        <w:t xml:space="preserve">Emission spectra of </w:t>
      </w:r>
      <w:r w:rsidRPr="00C2463A">
        <w:rPr>
          <w:b/>
        </w:rPr>
        <w:t>1</w:t>
      </w:r>
      <w:r w:rsidRPr="000B0D13">
        <w:rPr>
          <w:bCs/>
        </w:rPr>
        <w:t xml:space="preserve"> in C</w:t>
      </w:r>
      <w:r w:rsidRPr="00C2463A">
        <w:rPr>
          <w:bCs/>
          <w:vertAlign w:val="subscript"/>
        </w:rPr>
        <w:t>6</w:t>
      </w:r>
      <w:r w:rsidRPr="000B0D13">
        <w:rPr>
          <w:bCs/>
        </w:rPr>
        <w:t>H</w:t>
      </w:r>
      <w:r w:rsidRPr="00C2463A">
        <w:rPr>
          <w:bCs/>
          <w:vertAlign w:val="subscript"/>
        </w:rPr>
        <w:t>6</w:t>
      </w:r>
      <w:r w:rsidRPr="000B0D13">
        <w:rPr>
          <w:bCs/>
        </w:rPr>
        <w:t xml:space="preserve"> irradiated at 365 nm under N</w:t>
      </w:r>
      <w:r w:rsidRPr="00C2463A">
        <w:rPr>
          <w:bCs/>
          <w:vertAlign w:val="subscript"/>
        </w:rPr>
        <w:t>2</w:t>
      </w:r>
      <w:r>
        <w:rPr>
          <w:bCs/>
        </w:rPr>
        <w:t xml:space="preserve">; </w:t>
      </w:r>
      <w:r w:rsidRPr="000B0D13">
        <w:rPr>
          <w:bCs/>
        </w:rPr>
        <w:t xml:space="preserve">Emission spectra of absorption matched solutions of </w:t>
      </w:r>
      <w:r w:rsidRPr="00C2463A">
        <w:rPr>
          <w:b/>
        </w:rPr>
        <w:t>4</w:t>
      </w:r>
      <w:r w:rsidRPr="000B0D13">
        <w:rPr>
          <w:bCs/>
        </w:rPr>
        <w:t xml:space="preserve"> in CH</w:t>
      </w:r>
      <w:r w:rsidRPr="00C2463A">
        <w:rPr>
          <w:bCs/>
          <w:vertAlign w:val="subscript"/>
        </w:rPr>
        <w:t>3</w:t>
      </w:r>
      <w:r w:rsidRPr="000B0D13">
        <w:rPr>
          <w:bCs/>
        </w:rPr>
        <w:t>CN or C</w:t>
      </w:r>
      <w:r w:rsidRPr="00C2463A">
        <w:rPr>
          <w:bCs/>
          <w:vertAlign w:val="subscript"/>
        </w:rPr>
        <w:t>6</w:t>
      </w:r>
      <w:r w:rsidRPr="000B0D13">
        <w:rPr>
          <w:bCs/>
        </w:rPr>
        <w:t>H</w:t>
      </w:r>
      <w:r w:rsidRPr="00C2463A">
        <w:rPr>
          <w:bCs/>
          <w:vertAlign w:val="subscript"/>
        </w:rPr>
        <w:t>6</w:t>
      </w:r>
      <w:r>
        <w:rPr>
          <w:bCs/>
        </w:rPr>
        <w:t xml:space="preserve">; </w:t>
      </w:r>
      <w:r w:rsidRPr="000B0D13">
        <w:rPr>
          <w:bCs/>
        </w:rPr>
        <w:t xml:space="preserve">Temporal evolution of the emission of </w:t>
      </w:r>
      <w:r w:rsidRPr="00C2463A">
        <w:rPr>
          <w:b/>
        </w:rPr>
        <w:t>1</w:t>
      </w:r>
      <w:r w:rsidRPr="000B0D13">
        <w:rPr>
          <w:bCs/>
        </w:rPr>
        <w:t xml:space="preserve"> after photoactivation in CH</w:t>
      </w:r>
      <w:r w:rsidRPr="00C2463A">
        <w:rPr>
          <w:bCs/>
          <w:vertAlign w:val="subscript"/>
        </w:rPr>
        <w:t>3</w:t>
      </w:r>
      <w:r w:rsidRPr="000B0D13">
        <w:rPr>
          <w:bCs/>
        </w:rPr>
        <w:t>CN or C</w:t>
      </w:r>
      <w:r w:rsidRPr="00C2463A">
        <w:rPr>
          <w:bCs/>
          <w:vertAlign w:val="subscript"/>
        </w:rPr>
        <w:t>6</w:t>
      </w:r>
      <w:r w:rsidRPr="000B0D13">
        <w:rPr>
          <w:bCs/>
        </w:rPr>
        <w:t>H</w:t>
      </w:r>
      <w:r w:rsidRPr="00C2463A">
        <w:rPr>
          <w:bCs/>
          <w:vertAlign w:val="subscript"/>
        </w:rPr>
        <w:t>6</w:t>
      </w:r>
      <w:r>
        <w:rPr>
          <w:bCs/>
        </w:rPr>
        <w:t xml:space="preserve">; </w:t>
      </w:r>
      <w:r w:rsidRPr="000B0D13">
        <w:rPr>
          <w:bCs/>
        </w:rPr>
        <w:t xml:space="preserve">Absorption spectra of </w:t>
      </w:r>
      <w:r w:rsidRPr="00C2463A">
        <w:rPr>
          <w:b/>
        </w:rPr>
        <w:t>1</w:t>
      </w:r>
      <w:r w:rsidRPr="000B0D13">
        <w:rPr>
          <w:bCs/>
        </w:rPr>
        <w:t xml:space="preserve"> in 5% PMMA in CH</w:t>
      </w:r>
      <w:r w:rsidRPr="00C2463A">
        <w:rPr>
          <w:bCs/>
          <w:vertAlign w:val="subscript"/>
        </w:rPr>
        <w:t>3</w:t>
      </w:r>
      <w:r w:rsidRPr="000B0D13">
        <w:rPr>
          <w:bCs/>
        </w:rPr>
        <w:t>CN irradiated at 365 nm</w:t>
      </w:r>
      <w:r>
        <w:rPr>
          <w:bCs/>
        </w:rPr>
        <w:t xml:space="preserve">; </w:t>
      </w:r>
      <w:r w:rsidRPr="000B0D13">
        <w:rPr>
          <w:bCs/>
        </w:rPr>
        <w:t xml:space="preserve">Emission spectra of </w:t>
      </w:r>
      <w:r w:rsidRPr="00C2463A">
        <w:rPr>
          <w:b/>
        </w:rPr>
        <w:t>1</w:t>
      </w:r>
      <w:r w:rsidRPr="000B0D13">
        <w:rPr>
          <w:bCs/>
        </w:rPr>
        <w:t xml:space="preserve"> in 1% PMMA in CH</w:t>
      </w:r>
      <w:r w:rsidRPr="00C2463A">
        <w:rPr>
          <w:bCs/>
          <w:vertAlign w:val="subscript"/>
        </w:rPr>
        <w:t>3</w:t>
      </w:r>
      <w:r w:rsidRPr="000B0D13">
        <w:rPr>
          <w:bCs/>
        </w:rPr>
        <w:t>CN irradiated at 365 nm</w:t>
      </w:r>
      <w:r>
        <w:rPr>
          <w:bCs/>
        </w:rPr>
        <w:t xml:space="preserve">; </w:t>
      </w:r>
      <w:r w:rsidRPr="000B0D13">
        <w:rPr>
          <w:bCs/>
        </w:rPr>
        <w:t>Emission spectra of 5% PMMA in CH</w:t>
      </w:r>
      <w:r w:rsidRPr="00C2463A">
        <w:rPr>
          <w:bCs/>
          <w:vertAlign w:val="subscript"/>
        </w:rPr>
        <w:t>3</w:t>
      </w:r>
      <w:r w:rsidRPr="000B0D13">
        <w:rPr>
          <w:bCs/>
        </w:rPr>
        <w:t>CN before and after ultraviolet irradiation</w:t>
      </w:r>
      <w:r>
        <w:rPr>
          <w:bCs/>
        </w:rPr>
        <w:t xml:space="preserve">; </w:t>
      </w:r>
      <w:r w:rsidRPr="000B0D13">
        <w:rPr>
          <w:bCs/>
        </w:rPr>
        <w:t xml:space="preserve">FTIR spectra of the supernatant recovered after irradiation of </w:t>
      </w:r>
      <w:r w:rsidRPr="00C2463A">
        <w:rPr>
          <w:b/>
        </w:rPr>
        <w:t>1</w:t>
      </w:r>
      <w:r w:rsidRPr="000B0D13">
        <w:rPr>
          <w:bCs/>
        </w:rPr>
        <w:t xml:space="preserve"> in 5% PMMA in CH</w:t>
      </w:r>
      <w:r w:rsidRPr="00C2463A">
        <w:rPr>
          <w:bCs/>
          <w:vertAlign w:val="subscript"/>
        </w:rPr>
        <w:t>3</w:t>
      </w:r>
      <w:r w:rsidRPr="000B0D13">
        <w:rPr>
          <w:bCs/>
        </w:rPr>
        <w:t>CN</w:t>
      </w:r>
      <w:r>
        <w:rPr>
          <w:bCs/>
        </w:rPr>
        <w:t>.</w:t>
      </w:r>
    </w:p>
    <w:p w14:paraId="4B5E8331" w14:textId="5E660100" w:rsidR="003A15FC" w:rsidRPr="00BA5773" w:rsidRDefault="003A15FC" w:rsidP="00695CAF">
      <w:pPr>
        <w:spacing w:beforeLines="120" w:before="288" w:afterLines="120" w:after="288" w:line="360" w:lineRule="auto"/>
        <w:jc w:val="both"/>
        <w:rPr>
          <w:b/>
          <w:sz w:val="28"/>
          <w:szCs w:val="24"/>
        </w:rPr>
      </w:pPr>
      <w:r w:rsidRPr="00BA5773">
        <w:rPr>
          <w:b/>
          <w:sz w:val="28"/>
          <w:szCs w:val="24"/>
        </w:rPr>
        <w:lastRenderedPageBreak/>
        <w:t>Conflicts of Interest</w:t>
      </w:r>
    </w:p>
    <w:p w14:paraId="2E649AF4" w14:textId="7FA38061" w:rsidR="003A15FC" w:rsidRPr="00BA5773" w:rsidRDefault="003A15FC" w:rsidP="00695CAF">
      <w:pPr>
        <w:spacing w:beforeLines="120" w:before="288" w:afterLines="120" w:after="288" w:line="360" w:lineRule="auto"/>
        <w:jc w:val="both"/>
        <w:rPr>
          <w:b/>
          <w:sz w:val="28"/>
          <w:szCs w:val="24"/>
        </w:rPr>
      </w:pPr>
      <w:r w:rsidRPr="00BA5773">
        <w:rPr>
          <w:bCs/>
        </w:rPr>
        <w:t>There are no conflicts to declare.</w:t>
      </w:r>
    </w:p>
    <w:p w14:paraId="1C4AE920" w14:textId="693C5A3B" w:rsidR="00F96B27" w:rsidRPr="00BA5773" w:rsidRDefault="00F96B27" w:rsidP="00695CAF">
      <w:pPr>
        <w:spacing w:beforeLines="120" w:before="288" w:afterLines="120" w:after="288" w:line="360" w:lineRule="auto"/>
        <w:jc w:val="both"/>
        <w:rPr>
          <w:b/>
          <w:sz w:val="28"/>
          <w:szCs w:val="24"/>
        </w:rPr>
      </w:pPr>
      <w:r w:rsidRPr="00BA5773">
        <w:rPr>
          <w:b/>
          <w:sz w:val="28"/>
          <w:szCs w:val="24"/>
        </w:rPr>
        <w:t>Acknowledgments</w:t>
      </w:r>
    </w:p>
    <w:p w14:paraId="77A8180E" w14:textId="403C56DD" w:rsidR="004A2EB8" w:rsidRPr="00BA5773" w:rsidRDefault="0046459F" w:rsidP="00F85817">
      <w:pPr>
        <w:spacing w:beforeLines="120" w:before="288" w:afterLines="120" w:after="288" w:line="360" w:lineRule="auto"/>
        <w:jc w:val="both"/>
      </w:pPr>
      <w:r w:rsidRPr="00BA5773">
        <w:rPr>
          <w:bCs/>
        </w:rPr>
        <w:t xml:space="preserve">We thank the Natural Sciences and Engineering Council of Canada (Discovery Grant) and Ryerson University (start-up funds) for supporting our research program. This research has also been supported by the Ryerson University Faculty of Science Dean’s Research Fund. </w:t>
      </w:r>
      <w:r w:rsidR="007914ED" w:rsidRPr="00BA5773">
        <w:tab/>
      </w:r>
    </w:p>
    <w:p w14:paraId="3FCCB37B" w14:textId="69DADE88" w:rsidR="00D80458" w:rsidRDefault="00D80458" w:rsidP="00695CAF">
      <w:pPr>
        <w:spacing w:beforeLines="120" w:before="288" w:afterLines="120" w:after="288" w:line="360" w:lineRule="auto"/>
        <w:rPr>
          <w:rFonts w:cs="Times New Roman"/>
          <w:b/>
          <w:bCs/>
          <w:sz w:val="28"/>
          <w:szCs w:val="28"/>
          <w:lang w:val="en-GB"/>
        </w:rPr>
      </w:pPr>
      <w:r>
        <w:rPr>
          <w:rFonts w:cs="Times New Roman"/>
          <w:b/>
          <w:bCs/>
          <w:sz w:val="28"/>
          <w:szCs w:val="28"/>
          <w:lang w:val="en-GB"/>
        </w:rPr>
        <w:t>Keywords</w:t>
      </w:r>
    </w:p>
    <w:p w14:paraId="76C6CD7A" w14:textId="109C9C05" w:rsidR="00413681" w:rsidRDefault="00413681" w:rsidP="00413681">
      <w:pPr>
        <w:tabs>
          <w:tab w:val="left" w:pos="3876"/>
        </w:tabs>
        <w:spacing w:beforeLines="120" w:before="288" w:afterLines="120" w:after="288" w:line="360" w:lineRule="auto"/>
        <w:jc w:val="both"/>
        <w:rPr>
          <w:rFonts w:cs="Times New Roman"/>
          <w:szCs w:val="24"/>
          <w:lang w:val="en-GB"/>
        </w:rPr>
      </w:pPr>
      <w:r w:rsidRPr="00BA5773">
        <w:rPr>
          <w:rFonts w:cs="Times New Roman"/>
          <w:szCs w:val="24"/>
          <w:lang w:val="en-GB"/>
        </w:rPr>
        <w:t>energy transfer • fluorescence activation •</w:t>
      </w:r>
      <w:r w:rsidR="00D9541B">
        <w:rPr>
          <w:rFonts w:cs="Times New Roman"/>
          <w:szCs w:val="24"/>
          <w:lang w:val="en-GB"/>
        </w:rPr>
        <w:t xml:space="preserve"> </w:t>
      </w:r>
      <w:r w:rsidR="00D9541B" w:rsidRPr="00BA5773">
        <w:rPr>
          <w:rFonts w:cs="Times New Roman"/>
          <w:szCs w:val="24"/>
          <w:lang w:val="en-GB"/>
        </w:rPr>
        <w:t>fluorescent probes</w:t>
      </w:r>
      <w:r w:rsidRPr="00BA5773">
        <w:rPr>
          <w:rFonts w:cs="Times New Roman"/>
          <w:szCs w:val="24"/>
          <w:lang w:val="en-GB"/>
        </w:rPr>
        <w:t xml:space="preserve"> • </w:t>
      </w:r>
      <w:r w:rsidR="00D9541B" w:rsidRPr="00BA5773">
        <w:rPr>
          <w:rFonts w:cs="Times New Roman"/>
          <w:szCs w:val="24"/>
          <w:lang w:val="en-GB"/>
        </w:rPr>
        <w:t>hydrogen abstraction</w:t>
      </w:r>
      <w:r w:rsidRPr="00BA5773">
        <w:rPr>
          <w:rFonts w:cs="Times New Roman"/>
          <w:szCs w:val="24"/>
          <w:lang w:val="en-GB"/>
        </w:rPr>
        <w:t xml:space="preserve"> • photochemistry</w:t>
      </w:r>
    </w:p>
    <w:p w14:paraId="67D54CFB" w14:textId="5FB86377" w:rsidR="00F96B27" w:rsidRPr="00BA5773" w:rsidRDefault="00F96B27" w:rsidP="00695CAF">
      <w:pPr>
        <w:spacing w:beforeLines="120" w:before="288" w:afterLines="120" w:after="288" w:line="360" w:lineRule="auto"/>
        <w:rPr>
          <w:rFonts w:cs="Times New Roman"/>
          <w:b/>
          <w:bCs/>
          <w:sz w:val="28"/>
          <w:szCs w:val="28"/>
          <w:lang w:val="en-GB"/>
        </w:rPr>
      </w:pPr>
      <w:r w:rsidRPr="00BA5773">
        <w:rPr>
          <w:rFonts w:cs="Times New Roman"/>
          <w:b/>
          <w:bCs/>
          <w:sz w:val="28"/>
          <w:szCs w:val="28"/>
          <w:lang w:val="en-GB"/>
        </w:rPr>
        <w:t>References</w:t>
      </w:r>
    </w:p>
    <w:p w14:paraId="74CBCE4C" w14:textId="372A7E2A" w:rsidR="00E92323" w:rsidRPr="00E92323" w:rsidRDefault="005465A8" w:rsidP="00E92323">
      <w:pPr>
        <w:widowControl w:val="0"/>
        <w:autoSpaceDE w:val="0"/>
        <w:autoSpaceDN w:val="0"/>
        <w:adjustRightInd w:val="0"/>
        <w:spacing w:before="280" w:after="280" w:line="360" w:lineRule="auto"/>
        <w:ind w:left="640" w:hanging="640"/>
        <w:rPr>
          <w:rFonts w:cs="Times New Roman"/>
          <w:noProof/>
          <w:szCs w:val="24"/>
        </w:rPr>
      </w:pPr>
      <w:r w:rsidRPr="00BA5773">
        <w:rPr>
          <w:rFonts w:cs="Times New Roman"/>
          <w:b/>
          <w:bCs/>
          <w:sz w:val="28"/>
          <w:szCs w:val="28"/>
          <w:lang w:val="en-GB"/>
        </w:rPr>
        <w:fldChar w:fldCharType="begin" w:fldLock="1"/>
      </w:r>
      <w:r w:rsidRPr="00BA5773">
        <w:rPr>
          <w:rFonts w:cs="Times New Roman"/>
          <w:b/>
          <w:bCs/>
          <w:sz w:val="28"/>
          <w:szCs w:val="28"/>
          <w:lang w:val="en-GB"/>
        </w:rPr>
        <w:instrText xml:space="preserve">ADDIN Mendeley Bibliography CSL_BIBLIOGRAPHY </w:instrText>
      </w:r>
      <w:r w:rsidRPr="00BA5773">
        <w:rPr>
          <w:rFonts w:cs="Times New Roman"/>
          <w:b/>
          <w:bCs/>
          <w:sz w:val="28"/>
          <w:szCs w:val="28"/>
          <w:lang w:val="en-GB"/>
        </w:rPr>
        <w:fldChar w:fldCharType="separate"/>
      </w:r>
      <w:r w:rsidR="00E92323" w:rsidRPr="00E92323">
        <w:rPr>
          <w:rFonts w:cs="Times New Roman"/>
          <w:noProof/>
          <w:szCs w:val="24"/>
        </w:rPr>
        <w:t>[1]</w:t>
      </w:r>
      <w:r w:rsidR="00E92323" w:rsidRPr="00E92323">
        <w:rPr>
          <w:rFonts w:cs="Times New Roman"/>
          <w:noProof/>
          <w:szCs w:val="24"/>
        </w:rPr>
        <w:tab/>
        <w:t xml:space="preserve">N. J. Turro, V. Ramamurthy, J. C. Scaiano, </w:t>
      </w:r>
      <w:r w:rsidR="00E92323" w:rsidRPr="00E92323">
        <w:rPr>
          <w:rFonts w:cs="Times New Roman"/>
          <w:i/>
          <w:iCs/>
          <w:noProof/>
          <w:szCs w:val="24"/>
        </w:rPr>
        <w:t>Principles of Molecular Photochemistry: An Introduction</w:t>
      </w:r>
      <w:r w:rsidR="00E92323" w:rsidRPr="00E92323">
        <w:rPr>
          <w:rFonts w:cs="Times New Roman"/>
          <w:noProof/>
          <w:szCs w:val="24"/>
        </w:rPr>
        <w:t xml:space="preserve">, University Science Books, Herndon, </w:t>
      </w:r>
      <w:r w:rsidR="00E92323" w:rsidRPr="00E92323">
        <w:rPr>
          <w:rFonts w:cs="Times New Roman"/>
          <w:b/>
          <w:bCs/>
          <w:noProof/>
          <w:szCs w:val="24"/>
        </w:rPr>
        <w:t>2009</w:t>
      </w:r>
      <w:r w:rsidR="00E92323" w:rsidRPr="00E92323">
        <w:rPr>
          <w:rFonts w:cs="Times New Roman"/>
          <w:noProof/>
          <w:szCs w:val="24"/>
        </w:rPr>
        <w:t>.</w:t>
      </w:r>
    </w:p>
    <w:p w14:paraId="49B62A60"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w:t>
      </w:r>
      <w:r w:rsidRPr="00E92323">
        <w:rPr>
          <w:rFonts w:cs="Times New Roman"/>
          <w:noProof/>
          <w:szCs w:val="24"/>
        </w:rPr>
        <w:tab/>
        <w:t xml:space="preserve">A. Albini, M. Fagnoni, Eds. , </w:t>
      </w:r>
      <w:r w:rsidRPr="00E92323">
        <w:rPr>
          <w:rFonts w:cs="Times New Roman"/>
          <w:i/>
          <w:iCs/>
          <w:noProof/>
          <w:szCs w:val="24"/>
        </w:rPr>
        <w:t>Handbook of Synthetic Photochemistry</w:t>
      </w:r>
      <w:r w:rsidRPr="00E92323">
        <w:rPr>
          <w:rFonts w:cs="Times New Roman"/>
          <w:noProof/>
          <w:szCs w:val="24"/>
        </w:rPr>
        <w:t xml:space="preserve">, Wiley‐VCH Verlag GmbH &amp; Co. KGaA, Weinheim, </w:t>
      </w:r>
      <w:r w:rsidRPr="00E92323">
        <w:rPr>
          <w:rFonts w:cs="Times New Roman"/>
          <w:b/>
          <w:bCs/>
          <w:noProof/>
          <w:szCs w:val="24"/>
        </w:rPr>
        <w:t>2009</w:t>
      </w:r>
      <w:r w:rsidRPr="00E92323">
        <w:rPr>
          <w:rFonts w:cs="Times New Roman"/>
          <w:noProof/>
          <w:szCs w:val="24"/>
        </w:rPr>
        <w:t>.</w:t>
      </w:r>
    </w:p>
    <w:p w14:paraId="6C848CF3"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w:t>
      </w:r>
      <w:r w:rsidRPr="00E92323">
        <w:rPr>
          <w:rFonts w:cs="Times New Roman"/>
          <w:noProof/>
          <w:szCs w:val="24"/>
        </w:rPr>
        <w:tab/>
        <w:t xml:space="preserve">V. Balzani, P. Ceroni, A. Juris, </w:t>
      </w:r>
      <w:r w:rsidRPr="00E92323">
        <w:rPr>
          <w:rFonts w:cs="Times New Roman"/>
          <w:i/>
          <w:iCs/>
          <w:noProof/>
          <w:szCs w:val="24"/>
        </w:rPr>
        <w:t>Photochemistry and Photophysics: Concepts, Research, Applications</w:t>
      </w:r>
      <w:r w:rsidRPr="00E92323">
        <w:rPr>
          <w:rFonts w:cs="Times New Roman"/>
          <w:noProof/>
          <w:szCs w:val="24"/>
        </w:rPr>
        <w:t xml:space="preserve">, Wiley‐VCH, Weinheim, </w:t>
      </w:r>
      <w:r w:rsidRPr="00E92323">
        <w:rPr>
          <w:rFonts w:cs="Times New Roman"/>
          <w:b/>
          <w:bCs/>
          <w:noProof/>
          <w:szCs w:val="24"/>
        </w:rPr>
        <w:t>2014</w:t>
      </w:r>
      <w:r w:rsidRPr="00E92323">
        <w:rPr>
          <w:rFonts w:cs="Times New Roman"/>
          <w:noProof/>
          <w:szCs w:val="24"/>
        </w:rPr>
        <w:t>.</w:t>
      </w:r>
    </w:p>
    <w:p w14:paraId="34202B95"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w:t>
      </w:r>
      <w:r w:rsidRPr="00E92323">
        <w:rPr>
          <w:rFonts w:cs="Times New Roman"/>
          <w:noProof/>
          <w:szCs w:val="24"/>
        </w:rPr>
        <w:tab/>
        <w:t xml:space="preserve">D. Gust, T. A. Moore, A. L. Moore, </w:t>
      </w:r>
      <w:r w:rsidRPr="00E92323">
        <w:rPr>
          <w:rFonts w:cs="Times New Roman"/>
          <w:i/>
          <w:iCs/>
          <w:noProof/>
          <w:szCs w:val="24"/>
        </w:rPr>
        <w:t>Acc. Chem. Res.</w:t>
      </w:r>
      <w:r w:rsidRPr="00E92323">
        <w:rPr>
          <w:rFonts w:cs="Times New Roman"/>
          <w:noProof/>
          <w:szCs w:val="24"/>
        </w:rPr>
        <w:t xml:space="preserve"> </w:t>
      </w:r>
      <w:r w:rsidRPr="00E92323">
        <w:rPr>
          <w:rFonts w:cs="Times New Roman"/>
          <w:b/>
          <w:bCs/>
          <w:noProof/>
          <w:szCs w:val="24"/>
        </w:rPr>
        <w:t>2009</w:t>
      </w:r>
      <w:r w:rsidRPr="00E92323">
        <w:rPr>
          <w:rFonts w:cs="Times New Roman"/>
          <w:noProof/>
          <w:szCs w:val="24"/>
        </w:rPr>
        <w:t xml:space="preserve">, </w:t>
      </w:r>
      <w:r w:rsidRPr="00E92323">
        <w:rPr>
          <w:rFonts w:cs="Times New Roman"/>
          <w:i/>
          <w:iCs/>
          <w:noProof/>
          <w:szCs w:val="24"/>
        </w:rPr>
        <w:t>42</w:t>
      </w:r>
      <w:r w:rsidRPr="00E92323">
        <w:rPr>
          <w:rFonts w:cs="Times New Roman"/>
          <w:noProof/>
          <w:szCs w:val="24"/>
        </w:rPr>
        <w:t>, 1890–1898.</w:t>
      </w:r>
    </w:p>
    <w:p w14:paraId="5134BCC8"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w:t>
      </w:r>
      <w:r w:rsidRPr="00E92323">
        <w:rPr>
          <w:rFonts w:cs="Times New Roman"/>
          <w:noProof/>
          <w:szCs w:val="24"/>
        </w:rPr>
        <w:tab/>
        <w:t xml:space="preserve">I. McConnell, G. Li, G. W. Brudvig, </w:t>
      </w:r>
      <w:r w:rsidRPr="00E92323">
        <w:rPr>
          <w:rFonts w:cs="Times New Roman"/>
          <w:i/>
          <w:iCs/>
          <w:noProof/>
          <w:szCs w:val="24"/>
        </w:rPr>
        <w:t>Chem. Biol.</w:t>
      </w:r>
      <w:r w:rsidRPr="00E92323">
        <w:rPr>
          <w:rFonts w:cs="Times New Roman"/>
          <w:noProof/>
          <w:szCs w:val="24"/>
        </w:rPr>
        <w:t xml:space="preserve"> </w:t>
      </w:r>
      <w:r w:rsidRPr="00E92323">
        <w:rPr>
          <w:rFonts w:cs="Times New Roman"/>
          <w:b/>
          <w:bCs/>
          <w:noProof/>
          <w:szCs w:val="24"/>
        </w:rPr>
        <w:t>2010</w:t>
      </w:r>
      <w:r w:rsidRPr="00E92323">
        <w:rPr>
          <w:rFonts w:cs="Times New Roman"/>
          <w:noProof/>
          <w:szCs w:val="24"/>
        </w:rPr>
        <w:t xml:space="preserve">, </w:t>
      </w:r>
      <w:r w:rsidRPr="00E92323">
        <w:rPr>
          <w:rFonts w:cs="Times New Roman"/>
          <w:i/>
          <w:iCs/>
          <w:noProof/>
          <w:szCs w:val="24"/>
        </w:rPr>
        <w:t>17</w:t>
      </w:r>
      <w:r w:rsidRPr="00E92323">
        <w:rPr>
          <w:rFonts w:cs="Times New Roman"/>
          <w:noProof/>
          <w:szCs w:val="24"/>
        </w:rPr>
        <w:t>, 434–447.</w:t>
      </w:r>
    </w:p>
    <w:p w14:paraId="6F3B33B3"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[6]</w:t>
      </w:r>
      <w:r w:rsidRPr="00E92323">
        <w:rPr>
          <w:rFonts w:cs="Times New Roman"/>
          <w:noProof/>
          <w:szCs w:val="24"/>
        </w:rPr>
        <w:tab/>
        <w:t xml:space="preserve">D. Gust, T. A. Moore, A. L. Moore, </w:t>
      </w:r>
      <w:r w:rsidRPr="00E92323">
        <w:rPr>
          <w:rFonts w:cs="Times New Roman"/>
          <w:i/>
          <w:iCs/>
          <w:noProof/>
          <w:szCs w:val="24"/>
        </w:rPr>
        <w:t>Faraday Discuss.</w:t>
      </w:r>
      <w:r w:rsidRPr="00E92323">
        <w:rPr>
          <w:rFonts w:cs="Times New Roman"/>
          <w:noProof/>
          <w:szCs w:val="24"/>
        </w:rPr>
        <w:t xml:space="preserve"> </w:t>
      </w:r>
      <w:r w:rsidRPr="00E92323">
        <w:rPr>
          <w:rFonts w:cs="Times New Roman"/>
          <w:b/>
          <w:bCs/>
          <w:noProof/>
          <w:szCs w:val="24"/>
        </w:rPr>
        <w:t>2012</w:t>
      </w:r>
      <w:r w:rsidRPr="00E92323">
        <w:rPr>
          <w:rFonts w:cs="Times New Roman"/>
          <w:noProof/>
          <w:szCs w:val="24"/>
        </w:rPr>
        <w:t xml:space="preserve">, </w:t>
      </w:r>
      <w:r w:rsidRPr="00E92323">
        <w:rPr>
          <w:rFonts w:cs="Times New Roman"/>
          <w:i/>
          <w:iCs/>
          <w:noProof/>
          <w:szCs w:val="24"/>
        </w:rPr>
        <w:t>155</w:t>
      </w:r>
      <w:r w:rsidRPr="00E92323">
        <w:rPr>
          <w:rFonts w:cs="Times New Roman"/>
          <w:noProof/>
          <w:szCs w:val="24"/>
        </w:rPr>
        <w:t>, 9–26.</w:t>
      </w:r>
    </w:p>
    <w:p w14:paraId="4D3B3B35"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[7]</w:t>
      </w:r>
      <w:r w:rsidRPr="00E92323">
        <w:rPr>
          <w:rFonts w:cs="Times New Roman"/>
          <w:noProof/>
          <w:szCs w:val="24"/>
        </w:rPr>
        <w:tab/>
        <w:t xml:space="preserve">S. Fukuzumi, K. Ohkubo, T. Suenobu, </w:t>
      </w:r>
      <w:r w:rsidRPr="00E92323">
        <w:rPr>
          <w:rFonts w:cs="Times New Roman"/>
          <w:i/>
          <w:iCs/>
          <w:noProof/>
          <w:szCs w:val="24"/>
        </w:rPr>
        <w:t>Acc. Chem. Res.</w:t>
      </w:r>
      <w:r w:rsidRPr="00E92323">
        <w:rPr>
          <w:rFonts w:cs="Times New Roman"/>
          <w:noProof/>
          <w:szCs w:val="24"/>
        </w:rPr>
        <w:t xml:space="preserve"> </w:t>
      </w:r>
      <w:r w:rsidRPr="00E92323">
        <w:rPr>
          <w:rFonts w:cs="Times New Roman"/>
          <w:b/>
          <w:bCs/>
          <w:noProof/>
          <w:szCs w:val="24"/>
        </w:rPr>
        <w:t>2014</w:t>
      </w:r>
      <w:r w:rsidRPr="00E92323">
        <w:rPr>
          <w:rFonts w:cs="Times New Roman"/>
          <w:noProof/>
          <w:szCs w:val="24"/>
        </w:rPr>
        <w:t xml:space="preserve">, </w:t>
      </w:r>
      <w:r w:rsidRPr="00E92323">
        <w:rPr>
          <w:rFonts w:cs="Times New Roman"/>
          <w:i/>
          <w:iCs/>
          <w:noProof/>
          <w:szCs w:val="24"/>
        </w:rPr>
        <w:t>47</w:t>
      </w:r>
      <w:r w:rsidRPr="00E92323">
        <w:rPr>
          <w:rFonts w:cs="Times New Roman"/>
          <w:noProof/>
          <w:szCs w:val="24"/>
        </w:rPr>
        <w:t>, 1455–1464.</w:t>
      </w:r>
    </w:p>
    <w:p w14:paraId="745B50B8" w14:textId="39498036"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[8]</w:t>
      </w:r>
      <w:r w:rsidRPr="00E92323">
        <w:rPr>
          <w:rFonts w:cs="Times New Roman"/>
          <w:noProof/>
          <w:szCs w:val="24"/>
        </w:rPr>
        <w:tab/>
        <w:t xml:space="preserve">M. E. El-Khouly, E. El-Mohsnawy, S. Fukuzumi, </w:t>
      </w:r>
      <w:r w:rsidRPr="00E92323">
        <w:rPr>
          <w:rFonts w:cs="Times New Roman"/>
          <w:i/>
          <w:iCs/>
          <w:noProof/>
          <w:szCs w:val="24"/>
        </w:rPr>
        <w:t xml:space="preserve">J. Photochem. Photobiol. C </w:t>
      </w:r>
      <w:r w:rsidRPr="00E92323">
        <w:rPr>
          <w:rFonts w:cs="Times New Roman"/>
          <w:b/>
          <w:bCs/>
          <w:noProof/>
          <w:szCs w:val="24"/>
        </w:rPr>
        <w:t>2017</w:t>
      </w:r>
      <w:r w:rsidRPr="00E92323">
        <w:rPr>
          <w:rFonts w:cs="Times New Roman"/>
          <w:noProof/>
          <w:szCs w:val="24"/>
        </w:rPr>
        <w:t xml:space="preserve">, </w:t>
      </w:r>
      <w:r w:rsidRPr="00E92323">
        <w:rPr>
          <w:rFonts w:cs="Times New Roman"/>
          <w:i/>
          <w:iCs/>
          <w:noProof/>
          <w:szCs w:val="24"/>
        </w:rPr>
        <w:t>31</w:t>
      </w:r>
      <w:r w:rsidRPr="00E92323">
        <w:rPr>
          <w:rFonts w:cs="Times New Roman"/>
          <w:noProof/>
          <w:szCs w:val="24"/>
        </w:rPr>
        <w:t xml:space="preserve">, </w:t>
      </w:r>
      <w:r w:rsidRPr="00E92323">
        <w:rPr>
          <w:rFonts w:cs="Times New Roman"/>
          <w:noProof/>
          <w:szCs w:val="24"/>
        </w:rPr>
        <w:lastRenderedPageBreak/>
        <w:t>36–83.</w:t>
      </w:r>
    </w:p>
    <w:p w14:paraId="6E349555"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[9]</w:t>
      </w:r>
      <w:r w:rsidRPr="00E92323">
        <w:rPr>
          <w:rFonts w:cs="Times New Roman"/>
          <w:noProof/>
          <w:szCs w:val="24"/>
        </w:rPr>
        <w:tab/>
        <w:t xml:space="preserve">A. Facchetti, </w:t>
      </w:r>
      <w:r w:rsidRPr="00E92323">
        <w:rPr>
          <w:rFonts w:cs="Times New Roman"/>
          <w:i/>
          <w:iCs/>
          <w:noProof/>
          <w:szCs w:val="24"/>
        </w:rPr>
        <w:t>Mater. Today</w:t>
      </w:r>
      <w:r w:rsidRPr="00E92323">
        <w:rPr>
          <w:rFonts w:cs="Times New Roman"/>
          <w:noProof/>
          <w:szCs w:val="24"/>
        </w:rPr>
        <w:t xml:space="preserve"> </w:t>
      </w:r>
      <w:r w:rsidRPr="00E92323">
        <w:rPr>
          <w:rFonts w:cs="Times New Roman"/>
          <w:b/>
          <w:bCs/>
          <w:noProof/>
          <w:szCs w:val="24"/>
        </w:rPr>
        <w:t>2013</w:t>
      </w:r>
      <w:r w:rsidRPr="00E92323">
        <w:rPr>
          <w:rFonts w:cs="Times New Roman"/>
          <w:noProof/>
          <w:szCs w:val="24"/>
        </w:rPr>
        <w:t xml:space="preserve">, </w:t>
      </w:r>
      <w:r w:rsidRPr="00E92323">
        <w:rPr>
          <w:rFonts w:cs="Times New Roman"/>
          <w:i/>
          <w:iCs/>
          <w:noProof/>
          <w:szCs w:val="24"/>
        </w:rPr>
        <w:t>16</w:t>
      </w:r>
      <w:r w:rsidRPr="00E92323">
        <w:rPr>
          <w:rFonts w:cs="Times New Roman"/>
          <w:noProof/>
          <w:szCs w:val="24"/>
        </w:rPr>
        <w:t>, 123–132.</w:t>
      </w:r>
    </w:p>
    <w:p w14:paraId="7251CCB2"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[10]</w:t>
      </w:r>
      <w:r w:rsidRPr="00E92323">
        <w:rPr>
          <w:rFonts w:cs="Times New Roman"/>
          <w:noProof/>
          <w:szCs w:val="24"/>
        </w:rPr>
        <w:tab/>
        <w:t xml:space="preserve">N. Kaur, M. Singh, D. Pathak, T. Wagner, J. M. Nunzi, </w:t>
      </w:r>
      <w:r w:rsidRPr="00E92323">
        <w:rPr>
          <w:rFonts w:cs="Times New Roman"/>
          <w:i/>
          <w:iCs/>
          <w:noProof/>
          <w:szCs w:val="24"/>
        </w:rPr>
        <w:t>Synth. Met.</w:t>
      </w:r>
      <w:r w:rsidRPr="00E92323">
        <w:rPr>
          <w:rFonts w:cs="Times New Roman"/>
          <w:noProof/>
          <w:szCs w:val="24"/>
        </w:rPr>
        <w:t xml:space="preserve"> </w:t>
      </w:r>
      <w:r w:rsidRPr="00E92323">
        <w:rPr>
          <w:rFonts w:cs="Times New Roman"/>
          <w:b/>
          <w:bCs/>
          <w:noProof/>
          <w:szCs w:val="24"/>
        </w:rPr>
        <w:t>2014</w:t>
      </w:r>
      <w:r w:rsidRPr="00E92323">
        <w:rPr>
          <w:rFonts w:cs="Times New Roman"/>
          <w:noProof/>
          <w:szCs w:val="24"/>
        </w:rPr>
        <w:t xml:space="preserve">, </w:t>
      </w:r>
      <w:r w:rsidRPr="00E92323">
        <w:rPr>
          <w:rFonts w:cs="Times New Roman"/>
          <w:i/>
          <w:iCs/>
          <w:noProof/>
          <w:szCs w:val="24"/>
        </w:rPr>
        <w:t>190</w:t>
      </w:r>
      <w:r w:rsidRPr="00E92323">
        <w:rPr>
          <w:rFonts w:cs="Times New Roman"/>
          <w:noProof/>
          <w:szCs w:val="24"/>
        </w:rPr>
        <w:t>, 20–26.</w:t>
      </w:r>
    </w:p>
    <w:p w14:paraId="4726BB61"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[11]</w:t>
      </w:r>
      <w:r w:rsidRPr="00E92323">
        <w:rPr>
          <w:rFonts w:cs="Times New Roman"/>
          <w:noProof/>
          <w:szCs w:val="24"/>
        </w:rPr>
        <w:tab/>
        <w:t xml:space="preserve">G. J. Hedley, A. Ruseckas, I. D. W. Samuel, </w:t>
      </w:r>
      <w:r w:rsidRPr="00E92323">
        <w:rPr>
          <w:rFonts w:cs="Times New Roman"/>
          <w:i/>
          <w:iCs/>
          <w:noProof/>
          <w:szCs w:val="24"/>
        </w:rPr>
        <w:t>Chem. Rev.</w:t>
      </w:r>
      <w:r w:rsidRPr="00E92323">
        <w:rPr>
          <w:rFonts w:cs="Times New Roman"/>
          <w:noProof/>
          <w:szCs w:val="24"/>
        </w:rPr>
        <w:t xml:space="preserve"> </w:t>
      </w:r>
      <w:r w:rsidRPr="00E92323">
        <w:rPr>
          <w:rFonts w:cs="Times New Roman"/>
          <w:b/>
          <w:bCs/>
          <w:noProof/>
          <w:szCs w:val="24"/>
        </w:rPr>
        <w:t>2017</w:t>
      </w:r>
      <w:r w:rsidRPr="00E92323">
        <w:rPr>
          <w:rFonts w:cs="Times New Roman"/>
          <w:noProof/>
          <w:szCs w:val="24"/>
        </w:rPr>
        <w:t xml:space="preserve">, </w:t>
      </w:r>
      <w:r w:rsidRPr="00E92323">
        <w:rPr>
          <w:rFonts w:cs="Times New Roman"/>
          <w:i/>
          <w:iCs/>
          <w:noProof/>
          <w:szCs w:val="24"/>
        </w:rPr>
        <w:t>117</w:t>
      </w:r>
      <w:r w:rsidRPr="00E92323">
        <w:rPr>
          <w:rFonts w:cs="Times New Roman"/>
          <w:noProof/>
          <w:szCs w:val="24"/>
        </w:rPr>
        <w:t>, 796–837.</w:t>
      </w:r>
    </w:p>
    <w:p w14:paraId="33EF55AD"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[12]</w:t>
      </w:r>
      <w:r w:rsidRPr="00E92323">
        <w:rPr>
          <w:rFonts w:cs="Times New Roman"/>
          <w:noProof/>
          <w:szCs w:val="24"/>
        </w:rPr>
        <w:tab/>
        <w:t xml:space="preserve">S. Holliday, Y. Li, C. K. Luscombe, </w:t>
      </w:r>
      <w:r w:rsidRPr="00E92323">
        <w:rPr>
          <w:rFonts w:cs="Times New Roman"/>
          <w:i/>
          <w:iCs/>
          <w:noProof/>
          <w:szCs w:val="24"/>
        </w:rPr>
        <w:t>Prog. Polym. Sci.</w:t>
      </w:r>
      <w:r w:rsidRPr="00E92323">
        <w:rPr>
          <w:rFonts w:cs="Times New Roman"/>
          <w:noProof/>
          <w:szCs w:val="24"/>
        </w:rPr>
        <w:t xml:space="preserve"> </w:t>
      </w:r>
      <w:r w:rsidRPr="00E92323">
        <w:rPr>
          <w:rFonts w:cs="Times New Roman"/>
          <w:b/>
          <w:bCs/>
          <w:noProof/>
          <w:szCs w:val="24"/>
        </w:rPr>
        <w:t>2017</w:t>
      </w:r>
      <w:r w:rsidRPr="00E92323">
        <w:rPr>
          <w:rFonts w:cs="Times New Roman"/>
          <w:noProof/>
          <w:szCs w:val="24"/>
        </w:rPr>
        <w:t xml:space="preserve">, </w:t>
      </w:r>
      <w:r w:rsidRPr="00E92323">
        <w:rPr>
          <w:rFonts w:cs="Times New Roman"/>
          <w:i/>
          <w:iCs/>
          <w:noProof/>
          <w:szCs w:val="24"/>
        </w:rPr>
        <w:t>70</w:t>
      </w:r>
      <w:r w:rsidRPr="00E92323">
        <w:rPr>
          <w:rFonts w:cs="Times New Roman"/>
          <w:noProof/>
          <w:szCs w:val="24"/>
        </w:rPr>
        <w:t>, 34–51.</w:t>
      </w:r>
    </w:p>
    <w:p w14:paraId="7FB694BA" w14:textId="6849B90E"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[13]</w:t>
      </w:r>
      <w:r w:rsidRPr="00E92323">
        <w:rPr>
          <w:rFonts w:cs="Times New Roman"/>
          <w:noProof/>
          <w:szCs w:val="24"/>
        </w:rPr>
        <w:tab/>
        <w:t xml:space="preserve">D. M. Schultz, T. P. Yoon, </w:t>
      </w:r>
      <w:r w:rsidRPr="00E92323">
        <w:rPr>
          <w:rFonts w:cs="Times New Roman"/>
          <w:i/>
          <w:iCs/>
          <w:noProof/>
          <w:szCs w:val="24"/>
        </w:rPr>
        <w:t>Science</w:t>
      </w:r>
      <w:r w:rsidRPr="00E92323">
        <w:rPr>
          <w:rFonts w:cs="Times New Roman"/>
          <w:noProof/>
          <w:szCs w:val="24"/>
        </w:rPr>
        <w:t xml:space="preserve"> </w:t>
      </w:r>
      <w:r w:rsidRPr="00E92323">
        <w:rPr>
          <w:rFonts w:cs="Times New Roman"/>
          <w:b/>
          <w:bCs/>
          <w:noProof/>
          <w:szCs w:val="24"/>
        </w:rPr>
        <w:t>2014</w:t>
      </w:r>
      <w:r w:rsidRPr="00E92323">
        <w:rPr>
          <w:rFonts w:cs="Times New Roman"/>
          <w:noProof/>
          <w:szCs w:val="24"/>
        </w:rPr>
        <w:t xml:space="preserve">, </w:t>
      </w:r>
      <w:r w:rsidRPr="00E92323">
        <w:rPr>
          <w:rFonts w:cs="Times New Roman"/>
          <w:i/>
          <w:iCs/>
          <w:noProof/>
          <w:szCs w:val="24"/>
        </w:rPr>
        <w:t>343</w:t>
      </w:r>
      <w:r w:rsidRPr="00E92323">
        <w:rPr>
          <w:rFonts w:cs="Times New Roman"/>
          <w:noProof/>
          <w:szCs w:val="24"/>
        </w:rPr>
        <w:t>, 1239176–1239176.</w:t>
      </w:r>
    </w:p>
    <w:p w14:paraId="1A749D55"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[14]</w:t>
      </w:r>
      <w:r w:rsidRPr="00E92323">
        <w:rPr>
          <w:rFonts w:cs="Times New Roman"/>
          <w:noProof/>
          <w:szCs w:val="24"/>
        </w:rPr>
        <w:tab/>
        <w:t xml:space="preserve">N. A. Romero, D. A. Nicewicz, </w:t>
      </w:r>
      <w:r w:rsidRPr="00E92323">
        <w:rPr>
          <w:rFonts w:cs="Times New Roman"/>
          <w:i/>
          <w:iCs/>
          <w:noProof/>
          <w:szCs w:val="24"/>
        </w:rPr>
        <w:t>Chem. Rev.</w:t>
      </w:r>
      <w:r w:rsidRPr="00E92323">
        <w:rPr>
          <w:rFonts w:cs="Times New Roman"/>
          <w:noProof/>
          <w:szCs w:val="24"/>
        </w:rPr>
        <w:t xml:space="preserve"> </w:t>
      </w:r>
      <w:r w:rsidRPr="00E92323">
        <w:rPr>
          <w:rFonts w:cs="Times New Roman"/>
          <w:b/>
          <w:bCs/>
          <w:noProof/>
          <w:szCs w:val="24"/>
        </w:rPr>
        <w:t>2016</w:t>
      </w:r>
      <w:r w:rsidRPr="00E92323">
        <w:rPr>
          <w:rFonts w:cs="Times New Roman"/>
          <w:noProof/>
          <w:szCs w:val="24"/>
        </w:rPr>
        <w:t xml:space="preserve">, </w:t>
      </w:r>
      <w:r w:rsidRPr="00E92323">
        <w:rPr>
          <w:rFonts w:cs="Times New Roman"/>
          <w:i/>
          <w:iCs/>
          <w:noProof/>
          <w:szCs w:val="24"/>
        </w:rPr>
        <w:t>116</w:t>
      </w:r>
      <w:r w:rsidRPr="00E92323">
        <w:rPr>
          <w:rFonts w:cs="Times New Roman"/>
          <w:noProof/>
          <w:szCs w:val="24"/>
        </w:rPr>
        <w:t>, 10075–10166.</w:t>
      </w:r>
    </w:p>
    <w:p w14:paraId="06C47FCD"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[15]</w:t>
      </w:r>
      <w:r w:rsidRPr="00E92323">
        <w:rPr>
          <w:rFonts w:cs="Times New Roman"/>
          <w:noProof/>
          <w:szCs w:val="24"/>
        </w:rPr>
        <w:tab/>
        <w:t xml:space="preserve">M. H. Shaw, J. Twilton, D. W. C. MacMillan, </w:t>
      </w:r>
      <w:r w:rsidRPr="00E92323">
        <w:rPr>
          <w:rFonts w:cs="Times New Roman"/>
          <w:i/>
          <w:iCs/>
          <w:noProof/>
          <w:szCs w:val="24"/>
        </w:rPr>
        <w:t>J. Org. Chem.</w:t>
      </w:r>
      <w:r w:rsidRPr="00E92323">
        <w:rPr>
          <w:rFonts w:cs="Times New Roman"/>
          <w:noProof/>
          <w:szCs w:val="24"/>
        </w:rPr>
        <w:t xml:space="preserve"> </w:t>
      </w:r>
      <w:r w:rsidRPr="00E92323">
        <w:rPr>
          <w:rFonts w:cs="Times New Roman"/>
          <w:b/>
          <w:bCs/>
          <w:noProof/>
          <w:szCs w:val="24"/>
        </w:rPr>
        <w:t>2016</w:t>
      </w:r>
      <w:r w:rsidRPr="00E92323">
        <w:rPr>
          <w:rFonts w:cs="Times New Roman"/>
          <w:noProof/>
          <w:szCs w:val="24"/>
        </w:rPr>
        <w:t xml:space="preserve">, </w:t>
      </w:r>
      <w:r w:rsidRPr="00E92323">
        <w:rPr>
          <w:rFonts w:cs="Times New Roman"/>
          <w:i/>
          <w:iCs/>
          <w:noProof/>
          <w:szCs w:val="24"/>
        </w:rPr>
        <w:t>81</w:t>
      </w:r>
      <w:r w:rsidRPr="00E92323">
        <w:rPr>
          <w:rFonts w:cs="Times New Roman"/>
          <w:noProof/>
          <w:szCs w:val="24"/>
        </w:rPr>
        <w:t>, 6898–6926.</w:t>
      </w:r>
    </w:p>
    <w:p w14:paraId="3B679E9C"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[16]</w:t>
      </w:r>
      <w:r w:rsidRPr="00E92323">
        <w:rPr>
          <w:rFonts w:cs="Times New Roman"/>
          <w:noProof/>
          <w:szCs w:val="24"/>
        </w:rPr>
        <w:tab/>
        <w:t xml:space="preserve">D. M. Arias-Rotondo, J. K. McCusker, </w:t>
      </w:r>
      <w:r w:rsidRPr="00E92323">
        <w:rPr>
          <w:rFonts w:cs="Times New Roman"/>
          <w:i/>
          <w:iCs/>
          <w:noProof/>
          <w:szCs w:val="24"/>
        </w:rPr>
        <w:t>Chem. Soc. Rev.</w:t>
      </w:r>
      <w:r w:rsidRPr="00E92323">
        <w:rPr>
          <w:rFonts w:cs="Times New Roman"/>
          <w:noProof/>
          <w:szCs w:val="24"/>
        </w:rPr>
        <w:t xml:space="preserve"> </w:t>
      </w:r>
      <w:r w:rsidRPr="00E92323">
        <w:rPr>
          <w:rFonts w:cs="Times New Roman"/>
          <w:b/>
          <w:bCs/>
          <w:noProof/>
          <w:szCs w:val="24"/>
        </w:rPr>
        <w:t>2016</w:t>
      </w:r>
      <w:r w:rsidRPr="00E92323">
        <w:rPr>
          <w:rFonts w:cs="Times New Roman"/>
          <w:noProof/>
          <w:szCs w:val="24"/>
        </w:rPr>
        <w:t xml:space="preserve">, </w:t>
      </w:r>
      <w:r w:rsidRPr="00E92323">
        <w:rPr>
          <w:rFonts w:cs="Times New Roman"/>
          <w:i/>
          <w:iCs/>
          <w:noProof/>
          <w:szCs w:val="24"/>
        </w:rPr>
        <w:t>45</w:t>
      </w:r>
      <w:r w:rsidRPr="00E92323">
        <w:rPr>
          <w:rFonts w:cs="Times New Roman"/>
          <w:noProof/>
          <w:szCs w:val="24"/>
        </w:rPr>
        <w:t>, 5803–5820.</w:t>
      </w:r>
    </w:p>
    <w:p w14:paraId="113C96EC"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[17]</w:t>
      </w:r>
      <w:r w:rsidRPr="00E92323">
        <w:rPr>
          <w:rFonts w:cs="Times New Roman"/>
          <w:noProof/>
          <w:szCs w:val="24"/>
        </w:rPr>
        <w:tab/>
        <w:t xml:space="preserve">J. R. Lakowicz, </w:t>
      </w:r>
      <w:r w:rsidRPr="00E92323">
        <w:rPr>
          <w:rFonts w:cs="Times New Roman"/>
          <w:i/>
          <w:iCs/>
          <w:noProof/>
          <w:szCs w:val="24"/>
        </w:rPr>
        <w:t>Principles of Fluorescence Spectroscopy</w:t>
      </w:r>
      <w:r w:rsidRPr="00E92323">
        <w:rPr>
          <w:rFonts w:cs="Times New Roman"/>
          <w:noProof/>
          <w:szCs w:val="24"/>
        </w:rPr>
        <w:t xml:space="preserve">, Springer, New York, </w:t>
      </w:r>
      <w:r w:rsidRPr="00E92323">
        <w:rPr>
          <w:rFonts w:cs="Times New Roman"/>
          <w:b/>
          <w:bCs/>
          <w:noProof/>
          <w:szCs w:val="24"/>
        </w:rPr>
        <w:t>2006</w:t>
      </w:r>
      <w:r w:rsidRPr="00E92323">
        <w:rPr>
          <w:rFonts w:cs="Times New Roman"/>
          <w:noProof/>
          <w:szCs w:val="24"/>
        </w:rPr>
        <w:t>.</w:t>
      </w:r>
    </w:p>
    <w:p w14:paraId="5C76A3D0" w14:textId="7F20F761"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[18]</w:t>
      </w:r>
      <w:r w:rsidRPr="00E92323">
        <w:rPr>
          <w:rFonts w:cs="Times New Roman"/>
          <w:noProof/>
          <w:szCs w:val="24"/>
        </w:rPr>
        <w:tab/>
        <w:t xml:space="preserve">V. Balzani, A. Credi, M. Venturi, </w:t>
      </w:r>
      <w:r w:rsidRPr="00E92323">
        <w:rPr>
          <w:rFonts w:cs="Times New Roman"/>
          <w:i/>
          <w:iCs/>
          <w:noProof/>
          <w:szCs w:val="24"/>
        </w:rPr>
        <w:t>Molecular Devices and Machines–A Journey into the Nano World</w:t>
      </w:r>
      <w:r w:rsidRPr="00E92323">
        <w:rPr>
          <w:rFonts w:cs="Times New Roman"/>
          <w:noProof/>
          <w:szCs w:val="24"/>
        </w:rPr>
        <w:t xml:space="preserve">, Wiley-VCH Verlag GmbH &amp; Co. KGaA, Weinheim, </w:t>
      </w:r>
      <w:r w:rsidRPr="00E92323">
        <w:rPr>
          <w:rFonts w:cs="Times New Roman"/>
          <w:b/>
          <w:bCs/>
          <w:noProof/>
          <w:szCs w:val="24"/>
        </w:rPr>
        <w:t>2003</w:t>
      </w:r>
      <w:r w:rsidRPr="00E92323">
        <w:rPr>
          <w:rFonts w:cs="Times New Roman"/>
          <w:noProof/>
          <w:szCs w:val="24"/>
        </w:rPr>
        <w:t>.</w:t>
      </w:r>
    </w:p>
    <w:p w14:paraId="4E7758B9"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[19]</w:t>
      </w:r>
      <w:r w:rsidRPr="00E92323">
        <w:rPr>
          <w:rFonts w:cs="Times New Roman"/>
          <w:noProof/>
          <w:szCs w:val="24"/>
        </w:rPr>
        <w:tab/>
        <w:t xml:space="preserve">N. V. Blough, D. J. Simpson, </w:t>
      </w:r>
      <w:r w:rsidRPr="00E92323">
        <w:rPr>
          <w:rFonts w:cs="Times New Roman"/>
          <w:i/>
          <w:iCs/>
          <w:noProof/>
          <w:szCs w:val="24"/>
        </w:rPr>
        <w:t>J. Am. Chem. Soc.</w:t>
      </w:r>
      <w:r w:rsidRPr="00E92323">
        <w:rPr>
          <w:rFonts w:cs="Times New Roman"/>
          <w:noProof/>
          <w:szCs w:val="24"/>
        </w:rPr>
        <w:t xml:space="preserve"> </w:t>
      </w:r>
      <w:r w:rsidRPr="00E92323">
        <w:rPr>
          <w:rFonts w:cs="Times New Roman"/>
          <w:b/>
          <w:bCs/>
          <w:noProof/>
          <w:szCs w:val="24"/>
        </w:rPr>
        <w:t>1988</w:t>
      </w:r>
      <w:r w:rsidRPr="00E92323">
        <w:rPr>
          <w:rFonts w:cs="Times New Roman"/>
          <w:noProof/>
          <w:szCs w:val="24"/>
        </w:rPr>
        <w:t xml:space="preserve">, </w:t>
      </w:r>
      <w:r w:rsidRPr="00E92323">
        <w:rPr>
          <w:rFonts w:cs="Times New Roman"/>
          <w:i/>
          <w:iCs/>
          <w:noProof/>
          <w:szCs w:val="24"/>
        </w:rPr>
        <w:t>110</w:t>
      </w:r>
      <w:r w:rsidRPr="00E92323">
        <w:rPr>
          <w:rFonts w:cs="Times New Roman"/>
          <w:noProof/>
          <w:szCs w:val="24"/>
        </w:rPr>
        <w:t>, 1915–1917.</w:t>
      </w:r>
    </w:p>
    <w:p w14:paraId="53939C34"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[20]</w:t>
      </w:r>
      <w:r w:rsidRPr="00E92323">
        <w:rPr>
          <w:rFonts w:cs="Times New Roman"/>
          <w:noProof/>
          <w:szCs w:val="24"/>
        </w:rPr>
        <w:tab/>
        <w:t xml:space="preserve">D. J. Kieber, N. V. Blough, </w:t>
      </w:r>
      <w:r w:rsidRPr="00E92323">
        <w:rPr>
          <w:rFonts w:cs="Times New Roman"/>
          <w:i/>
          <w:iCs/>
          <w:noProof/>
          <w:szCs w:val="24"/>
        </w:rPr>
        <w:t>Anal. Chem.</w:t>
      </w:r>
      <w:r w:rsidRPr="00E92323">
        <w:rPr>
          <w:rFonts w:cs="Times New Roman"/>
          <w:noProof/>
          <w:szCs w:val="24"/>
        </w:rPr>
        <w:t xml:space="preserve"> </w:t>
      </w:r>
      <w:r w:rsidRPr="00E92323">
        <w:rPr>
          <w:rFonts w:cs="Times New Roman"/>
          <w:b/>
          <w:bCs/>
          <w:noProof/>
          <w:szCs w:val="24"/>
        </w:rPr>
        <w:t>1990</w:t>
      </w:r>
      <w:r w:rsidRPr="00E92323">
        <w:rPr>
          <w:rFonts w:cs="Times New Roman"/>
          <w:noProof/>
          <w:szCs w:val="24"/>
        </w:rPr>
        <w:t xml:space="preserve">, </w:t>
      </w:r>
      <w:r w:rsidRPr="00E92323">
        <w:rPr>
          <w:rFonts w:cs="Times New Roman"/>
          <w:i/>
          <w:iCs/>
          <w:noProof/>
          <w:szCs w:val="24"/>
        </w:rPr>
        <w:t>62</w:t>
      </w:r>
      <w:r w:rsidRPr="00E92323">
        <w:rPr>
          <w:rFonts w:cs="Times New Roman"/>
          <w:noProof/>
          <w:szCs w:val="24"/>
        </w:rPr>
        <w:t>, 2275–2283.</w:t>
      </w:r>
    </w:p>
    <w:p w14:paraId="60DC5F6A"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[21]</w:t>
      </w:r>
      <w:r w:rsidRPr="00E92323">
        <w:rPr>
          <w:rFonts w:cs="Times New Roman"/>
          <w:noProof/>
          <w:szCs w:val="24"/>
        </w:rPr>
        <w:tab/>
        <w:t xml:space="preserve">G. I. Likhtenstein, K. Ishii, S. Nakatsuji, </w:t>
      </w:r>
      <w:r w:rsidRPr="00E92323">
        <w:rPr>
          <w:rFonts w:cs="Times New Roman"/>
          <w:i/>
          <w:iCs/>
          <w:noProof/>
          <w:szCs w:val="24"/>
        </w:rPr>
        <w:t>Photochem. Photobiol.</w:t>
      </w:r>
      <w:r w:rsidRPr="00E92323">
        <w:rPr>
          <w:rFonts w:cs="Times New Roman"/>
          <w:noProof/>
          <w:szCs w:val="24"/>
        </w:rPr>
        <w:t xml:space="preserve"> </w:t>
      </w:r>
      <w:r w:rsidRPr="00E92323">
        <w:rPr>
          <w:rFonts w:cs="Times New Roman"/>
          <w:b/>
          <w:bCs/>
          <w:noProof/>
          <w:szCs w:val="24"/>
        </w:rPr>
        <w:t>2007</w:t>
      </w:r>
      <w:r w:rsidRPr="00E92323">
        <w:rPr>
          <w:rFonts w:cs="Times New Roman"/>
          <w:noProof/>
          <w:szCs w:val="24"/>
        </w:rPr>
        <w:t xml:space="preserve">, </w:t>
      </w:r>
      <w:r w:rsidRPr="00E92323">
        <w:rPr>
          <w:rFonts w:cs="Times New Roman"/>
          <w:i/>
          <w:iCs/>
          <w:noProof/>
          <w:szCs w:val="24"/>
        </w:rPr>
        <w:t>83</w:t>
      </w:r>
      <w:r w:rsidRPr="00E92323">
        <w:rPr>
          <w:rFonts w:cs="Times New Roman"/>
          <w:noProof/>
          <w:szCs w:val="24"/>
        </w:rPr>
        <w:t>, 871–881.</w:t>
      </w:r>
    </w:p>
    <w:p w14:paraId="01454E43"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[22]</w:t>
      </w:r>
      <w:r w:rsidRPr="00E92323">
        <w:rPr>
          <w:rFonts w:cs="Times New Roman"/>
          <w:noProof/>
          <w:szCs w:val="24"/>
        </w:rPr>
        <w:tab/>
        <w:t xml:space="preserve">G. I. Likhtenshtein, </w:t>
      </w:r>
      <w:r w:rsidRPr="00E92323">
        <w:rPr>
          <w:rFonts w:cs="Times New Roman"/>
          <w:i/>
          <w:iCs/>
          <w:noProof/>
          <w:szCs w:val="24"/>
        </w:rPr>
        <w:t>Pure Appl. Chem.</w:t>
      </w:r>
      <w:r w:rsidRPr="00E92323">
        <w:rPr>
          <w:rFonts w:cs="Times New Roman"/>
          <w:noProof/>
          <w:szCs w:val="24"/>
        </w:rPr>
        <w:t xml:space="preserve"> </w:t>
      </w:r>
      <w:r w:rsidRPr="00E92323">
        <w:rPr>
          <w:rFonts w:cs="Times New Roman"/>
          <w:b/>
          <w:bCs/>
          <w:noProof/>
          <w:szCs w:val="24"/>
        </w:rPr>
        <w:t>2008</w:t>
      </w:r>
      <w:r w:rsidRPr="00E92323">
        <w:rPr>
          <w:rFonts w:cs="Times New Roman"/>
          <w:noProof/>
          <w:szCs w:val="24"/>
        </w:rPr>
        <w:t xml:space="preserve">, </w:t>
      </w:r>
      <w:r w:rsidRPr="00E92323">
        <w:rPr>
          <w:rFonts w:cs="Times New Roman"/>
          <w:i/>
          <w:iCs/>
          <w:noProof/>
          <w:szCs w:val="24"/>
        </w:rPr>
        <w:t>80</w:t>
      </w:r>
      <w:r w:rsidRPr="00E92323">
        <w:rPr>
          <w:rFonts w:cs="Times New Roman"/>
          <w:noProof/>
          <w:szCs w:val="24"/>
        </w:rPr>
        <w:t>, 2125–2139.</w:t>
      </w:r>
    </w:p>
    <w:p w14:paraId="5AD81144"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[23]</w:t>
      </w:r>
      <w:r w:rsidRPr="00E92323">
        <w:rPr>
          <w:rFonts w:cs="Times New Roman"/>
          <w:noProof/>
          <w:szCs w:val="24"/>
        </w:rPr>
        <w:tab/>
        <w:t xml:space="preserve">C. Aliaga, A. Aspée, J. C. Scaiano, </w:t>
      </w:r>
      <w:r w:rsidRPr="00E92323">
        <w:rPr>
          <w:rFonts w:cs="Times New Roman"/>
          <w:i/>
          <w:iCs/>
          <w:noProof/>
          <w:szCs w:val="24"/>
        </w:rPr>
        <w:t>Org. Lett.</w:t>
      </w:r>
      <w:r w:rsidRPr="00E92323">
        <w:rPr>
          <w:rFonts w:cs="Times New Roman"/>
          <w:noProof/>
          <w:szCs w:val="24"/>
        </w:rPr>
        <w:t xml:space="preserve"> </w:t>
      </w:r>
      <w:r w:rsidRPr="00E92323">
        <w:rPr>
          <w:rFonts w:cs="Times New Roman"/>
          <w:b/>
          <w:bCs/>
          <w:noProof/>
          <w:szCs w:val="24"/>
        </w:rPr>
        <w:t>2003</w:t>
      </w:r>
      <w:r w:rsidRPr="00E92323">
        <w:rPr>
          <w:rFonts w:cs="Times New Roman"/>
          <w:noProof/>
          <w:szCs w:val="24"/>
        </w:rPr>
        <w:t xml:space="preserve">, </w:t>
      </w:r>
      <w:r w:rsidRPr="00E92323">
        <w:rPr>
          <w:rFonts w:cs="Times New Roman"/>
          <w:i/>
          <w:iCs/>
          <w:noProof/>
          <w:szCs w:val="24"/>
        </w:rPr>
        <w:t>5</w:t>
      </w:r>
      <w:r w:rsidRPr="00E92323">
        <w:rPr>
          <w:rFonts w:cs="Times New Roman"/>
          <w:noProof/>
          <w:szCs w:val="24"/>
        </w:rPr>
        <w:t>, 4145–4148.</w:t>
      </w:r>
    </w:p>
    <w:p w14:paraId="2E1B4EFF"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[24]</w:t>
      </w:r>
      <w:r w:rsidRPr="00E92323">
        <w:rPr>
          <w:rFonts w:cs="Times New Roman"/>
          <w:noProof/>
          <w:szCs w:val="24"/>
        </w:rPr>
        <w:tab/>
        <w:t xml:space="preserve">C. Aliaga, E. A. Lissi, O. Augusto, E. Linares, </w:t>
      </w:r>
      <w:r w:rsidRPr="00E92323">
        <w:rPr>
          <w:rFonts w:cs="Times New Roman"/>
          <w:i/>
          <w:iCs/>
          <w:noProof/>
          <w:szCs w:val="24"/>
        </w:rPr>
        <w:t>Free Radic. Res.</w:t>
      </w:r>
      <w:r w:rsidRPr="00E92323">
        <w:rPr>
          <w:rFonts w:cs="Times New Roman"/>
          <w:noProof/>
          <w:szCs w:val="24"/>
        </w:rPr>
        <w:t xml:space="preserve"> </w:t>
      </w:r>
      <w:r w:rsidRPr="00E92323">
        <w:rPr>
          <w:rFonts w:cs="Times New Roman"/>
          <w:b/>
          <w:bCs/>
          <w:noProof/>
          <w:szCs w:val="24"/>
        </w:rPr>
        <w:t>2003</w:t>
      </w:r>
      <w:r w:rsidRPr="00E92323">
        <w:rPr>
          <w:rFonts w:cs="Times New Roman"/>
          <w:noProof/>
          <w:szCs w:val="24"/>
        </w:rPr>
        <w:t xml:space="preserve">, </w:t>
      </w:r>
      <w:r w:rsidRPr="00E92323">
        <w:rPr>
          <w:rFonts w:cs="Times New Roman"/>
          <w:i/>
          <w:iCs/>
          <w:noProof/>
          <w:szCs w:val="24"/>
        </w:rPr>
        <w:t>37</w:t>
      </w:r>
      <w:r w:rsidRPr="00E92323">
        <w:rPr>
          <w:rFonts w:cs="Times New Roman"/>
          <w:noProof/>
          <w:szCs w:val="24"/>
        </w:rPr>
        <w:t>, 225–230.</w:t>
      </w:r>
    </w:p>
    <w:p w14:paraId="68B26427"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[25]</w:t>
      </w:r>
      <w:r w:rsidRPr="00E92323">
        <w:rPr>
          <w:rFonts w:cs="Times New Roman"/>
          <w:noProof/>
          <w:szCs w:val="24"/>
        </w:rPr>
        <w:tab/>
        <w:t xml:space="preserve">C. Aliaga, J. M. Juárez-Ruiz, J. C. Scaiano, A. Aspée, </w:t>
      </w:r>
      <w:r w:rsidRPr="00E92323">
        <w:rPr>
          <w:rFonts w:cs="Times New Roman"/>
          <w:i/>
          <w:iCs/>
          <w:noProof/>
          <w:szCs w:val="24"/>
        </w:rPr>
        <w:t>Org. Lett.</w:t>
      </w:r>
      <w:r w:rsidRPr="00E92323">
        <w:rPr>
          <w:rFonts w:cs="Times New Roman"/>
          <w:noProof/>
          <w:szCs w:val="24"/>
        </w:rPr>
        <w:t xml:space="preserve"> </w:t>
      </w:r>
      <w:r w:rsidRPr="00E92323">
        <w:rPr>
          <w:rFonts w:cs="Times New Roman"/>
          <w:b/>
          <w:bCs/>
          <w:noProof/>
          <w:szCs w:val="24"/>
        </w:rPr>
        <w:t>2008</w:t>
      </w:r>
      <w:r w:rsidRPr="00E92323">
        <w:rPr>
          <w:rFonts w:cs="Times New Roman"/>
          <w:noProof/>
          <w:szCs w:val="24"/>
        </w:rPr>
        <w:t xml:space="preserve">, </w:t>
      </w:r>
      <w:r w:rsidRPr="00E92323">
        <w:rPr>
          <w:rFonts w:cs="Times New Roman"/>
          <w:i/>
          <w:iCs/>
          <w:noProof/>
          <w:szCs w:val="24"/>
        </w:rPr>
        <w:t>10</w:t>
      </w:r>
      <w:r w:rsidRPr="00E92323">
        <w:rPr>
          <w:rFonts w:cs="Times New Roman"/>
          <w:noProof/>
          <w:szCs w:val="24"/>
        </w:rPr>
        <w:t>, 2147–2150.</w:t>
      </w:r>
    </w:p>
    <w:p w14:paraId="1EB90C01"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lastRenderedPageBreak/>
        <w:t>[26]</w:t>
      </w:r>
      <w:r w:rsidRPr="00E92323">
        <w:rPr>
          <w:rFonts w:cs="Times New Roman"/>
          <w:noProof/>
          <w:szCs w:val="24"/>
        </w:rPr>
        <w:tab/>
        <w:t xml:space="preserve">G. G. Borisenko, I. Martin, Q. Zhao, A. A. Amoscato, V. E. Kagan, </w:t>
      </w:r>
      <w:r w:rsidRPr="00E92323">
        <w:rPr>
          <w:rFonts w:cs="Times New Roman"/>
          <w:i/>
          <w:iCs/>
          <w:noProof/>
          <w:szCs w:val="24"/>
        </w:rPr>
        <w:t>J. Am. Chem. Soc.</w:t>
      </w:r>
      <w:r w:rsidRPr="00E92323">
        <w:rPr>
          <w:rFonts w:cs="Times New Roman"/>
          <w:noProof/>
          <w:szCs w:val="24"/>
        </w:rPr>
        <w:t xml:space="preserve"> </w:t>
      </w:r>
      <w:r w:rsidRPr="00E92323">
        <w:rPr>
          <w:rFonts w:cs="Times New Roman"/>
          <w:b/>
          <w:bCs/>
          <w:noProof/>
          <w:szCs w:val="24"/>
        </w:rPr>
        <w:t>2004</w:t>
      </w:r>
      <w:r w:rsidRPr="00E92323">
        <w:rPr>
          <w:rFonts w:cs="Times New Roman"/>
          <w:noProof/>
          <w:szCs w:val="24"/>
        </w:rPr>
        <w:t xml:space="preserve">, </w:t>
      </w:r>
      <w:r w:rsidRPr="00E92323">
        <w:rPr>
          <w:rFonts w:cs="Times New Roman"/>
          <w:i/>
          <w:iCs/>
          <w:noProof/>
          <w:szCs w:val="24"/>
        </w:rPr>
        <w:t>126</w:t>
      </w:r>
      <w:r w:rsidRPr="00E92323">
        <w:rPr>
          <w:rFonts w:cs="Times New Roman"/>
          <w:noProof/>
          <w:szCs w:val="24"/>
        </w:rPr>
        <w:t>, 9221–9232.</w:t>
      </w:r>
    </w:p>
    <w:p w14:paraId="3C0E420E"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[27]</w:t>
      </w:r>
      <w:r w:rsidRPr="00E92323">
        <w:rPr>
          <w:rFonts w:cs="Times New Roman"/>
          <w:noProof/>
          <w:szCs w:val="24"/>
        </w:rPr>
        <w:tab/>
        <w:t xml:space="preserve">S. Goldstein, A. Samuni, G. Merenyi, </w:t>
      </w:r>
      <w:r w:rsidRPr="00E92323">
        <w:rPr>
          <w:rFonts w:cs="Times New Roman"/>
          <w:i/>
          <w:iCs/>
          <w:noProof/>
          <w:szCs w:val="24"/>
        </w:rPr>
        <w:t>J. Phys. Chem. A</w:t>
      </w:r>
      <w:r w:rsidRPr="00E92323">
        <w:rPr>
          <w:rFonts w:cs="Times New Roman"/>
          <w:noProof/>
          <w:szCs w:val="24"/>
        </w:rPr>
        <w:t xml:space="preserve"> </w:t>
      </w:r>
      <w:r w:rsidRPr="00E92323">
        <w:rPr>
          <w:rFonts w:cs="Times New Roman"/>
          <w:b/>
          <w:bCs/>
          <w:noProof/>
          <w:szCs w:val="24"/>
        </w:rPr>
        <w:t>2008</w:t>
      </w:r>
      <w:r w:rsidRPr="00E92323">
        <w:rPr>
          <w:rFonts w:cs="Times New Roman"/>
          <w:noProof/>
          <w:szCs w:val="24"/>
        </w:rPr>
        <w:t xml:space="preserve">, </w:t>
      </w:r>
      <w:r w:rsidRPr="00E92323">
        <w:rPr>
          <w:rFonts w:cs="Times New Roman"/>
          <w:i/>
          <w:iCs/>
          <w:noProof/>
          <w:szCs w:val="24"/>
        </w:rPr>
        <w:t>112</w:t>
      </w:r>
      <w:r w:rsidRPr="00E92323">
        <w:rPr>
          <w:rFonts w:cs="Times New Roman"/>
          <w:noProof/>
          <w:szCs w:val="24"/>
        </w:rPr>
        <w:t>, 8600–8605.</w:t>
      </w:r>
    </w:p>
    <w:p w14:paraId="0A08D5B3"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[28]</w:t>
      </w:r>
      <w:r w:rsidRPr="00E92323">
        <w:rPr>
          <w:rFonts w:cs="Times New Roman"/>
          <w:noProof/>
          <w:szCs w:val="24"/>
        </w:rPr>
        <w:tab/>
        <w:t xml:space="preserve">L. J. Johnston, M. Tencer, J. C. Scaiano, </w:t>
      </w:r>
      <w:r w:rsidRPr="00E92323">
        <w:rPr>
          <w:rFonts w:cs="Times New Roman"/>
          <w:i/>
          <w:iCs/>
          <w:noProof/>
          <w:szCs w:val="24"/>
        </w:rPr>
        <w:t>J. Org. Chem.</w:t>
      </w:r>
      <w:r w:rsidRPr="00E92323">
        <w:rPr>
          <w:rFonts w:cs="Times New Roman"/>
          <w:noProof/>
          <w:szCs w:val="24"/>
        </w:rPr>
        <w:t xml:space="preserve"> </w:t>
      </w:r>
      <w:r w:rsidRPr="00E92323">
        <w:rPr>
          <w:rFonts w:cs="Times New Roman"/>
          <w:b/>
          <w:bCs/>
          <w:noProof/>
          <w:szCs w:val="24"/>
        </w:rPr>
        <w:t>1986</w:t>
      </w:r>
      <w:r w:rsidRPr="00E92323">
        <w:rPr>
          <w:rFonts w:cs="Times New Roman"/>
          <w:noProof/>
          <w:szCs w:val="24"/>
        </w:rPr>
        <w:t xml:space="preserve">, </w:t>
      </w:r>
      <w:r w:rsidRPr="00E92323">
        <w:rPr>
          <w:rFonts w:cs="Times New Roman"/>
          <w:i/>
          <w:iCs/>
          <w:noProof/>
          <w:szCs w:val="24"/>
        </w:rPr>
        <w:t>51</w:t>
      </w:r>
      <w:r w:rsidRPr="00E92323">
        <w:rPr>
          <w:rFonts w:cs="Times New Roman"/>
          <w:noProof/>
          <w:szCs w:val="24"/>
        </w:rPr>
        <w:t>, 2806–2808.</w:t>
      </w:r>
    </w:p>
    <w:p w14:paraId="0FFAF9DD"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[29]</w:t>
      </w:r>
      <w:r w:rsidRPr="00E92323">
        <w:rPr>
          <w:rFonts w:cs="Times New Roman"/>
          <w:noProof/>
          <w:szCs w:val="24"/>
        </w:rPr>
        <w:tab/>
        <w:t xml:space="preserve">S. Impellizzeri, K. G. Stamplecoskie, J. C. Scaiano, </w:t>
      </w:r>
      <w:r w:rsidRPr="00E92323">
        <w:rPr>
          <w:rFonts w:cs="Times New Roman"/>
          <w:i/>
          <w:iCs/>
          <w:noProof/>
          <w:szCs w:val="24"/>
        </w:rPr>
        <w:t>Phys. Chem. Chem. Phys.</w:t>
      </w:r>
      <w:r w:rsidRPr="00E92323">
        <w:rPr>
          <w:rFonts w:cs="Times New Roman"/>
          <w:noProof/>
          <w:szCs w:val="24"/>
        </w:rPr>
        <w:t xml:space="preserve"> </w:t>
      </w:r>
      <w:r w:rsidRPr="00E92323">
        <w:rPr>
          <w:rFonts w:cs="Times New Roman"/>
          <w:b/>
          <w:bCs/>
          <w:noProof/>
          <w:szCs w:val="24"/>
        </w:rPr>
        <w:t>2013</w:t>
      </w:r>
      <w:r w:rsidRPr="00E92323">
        <w:rPr>
          <w:rFonts w:cs="Times New Roman"/>
          <w:noProof/>
          <w:szCs w:val="24"/>
        </w:rPr>
        <w:t xml:space="preserve">, </w:t>
      </w:r>
      <w:r w:rsidRPr="00E92323">
        <w:rPr>
          <w:rFonts w:cs="Times New Roman"/>
          <w:i/>
          <w:iCs/>
          <w:noProof/>
          <w:szCs w:val="24"/>
        </w:rPr>
        <w:t>15</w:t>
      </w:r>
      <w:r w:rsidRPr="00E92323">
        <w:rPr>
          <w:rFonts w:cs="Times New Roman"/>
          <w:noProof/>
          <w:szCs w:val="24"/>
        </w:rPr>
        <w:t>, 14873–14878.</w:t>
      </w:r>
    </w:p>
    <w:p w14:paraId="2A5051DA"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[30]</w:t>
      </w:r>
      <w:r w:rsidRPr="00E92323">
        <w:rPr>
          <w:rFonts w:cs="Times New Roman"/>
          <w:noProof/>
          <w:szCs w:val="24"/>
        </w:rPr>
        <w:tab/>
        <w:t xml:space="preserve">A. Aspée, O. García, L. Maretti, R. Sastre, J. C. Scaiano, </w:t>
      </w:r>
      <w:r w:rsidRPr="00E92323">
        <w:rPr>
          <w:rFonts w:cs="Times New Roman"/>
          <w:i/>
          <w:iCs/>
          <w:noProof/>
          <w:szCs w:val="24"/>
        </w:rPr>
        <w:t>Macromolecules</w:t>
      </w:r>
      <w:r w:rsidRPr="00E92323">
        <w:rPr>
          <w:rFonts w:cs="Times New Roman"/>
          <w:noProof/>
          <w:szCs w:val="24"/>
        </w:rPr>
        <w:t xml:space="preserve"> </w:t>
      </w:r>
      <w:r w:rsidRPr="00E92323">
        <w:rPr>
          <w:rFonts w:cs="Times New Roman"/>
          <w:b/>
          <w:bCs/>
          <w:noProof/>
          <w:szCs w:val="24"/>
        </w:rPr>
        <w:t>2003</w:t>
      </w:r>
      <w:r w:rsidRPr="00E92323">
        <w:rPr>
          <w:rFonts w:cs="Times New Roman"/>
          <w:noProof/>
          <w:szCs w:val="24"/>
        </w:rPr>
        <w:t xml:space="preserve">, </w:t>
      </w:r>
      <w:r w:rsidRPr="00E92323">
        <w:rPr>
          <w:rFonts w:cs="Times New Roman"/>
          <w:i/>
          <w:iCs/>
          <w:noProof/>
          <w:szCs w:val="24"/>
        </w:rPr>
        <w:t>36</w:t>
      </w:r>
      <w:r w:rsidRPr="00E92323">
        <w:rPr>
          <w:rFonts w:cs="Times New Roman"/>
          <w:noProof/>
          <w:szCs w:val="24"/>
        </w:rPr>
        <w:t>, 3550–3556.</w:t>
      </w:r>
    </w:p>
    <w:p w14:paraId="6660E55F"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[31]</w:t>
      </w:r>
      <w:r w:rsidRPr="00E92323">
        <w:rPr>
          <w:rFonts w:cs="Times New Roman"/>
          <w:noProof/>
          <w:szCs w:val="24"/>
        </w:rPr>
        <w:tab/>
        <w:t xml:space="preserve">A. Goto, J. C. Scaiano, L. Maretti, </w:t>
      </w:r>
      <w:r w:rsidRPr="00E92323">
        <w:rPr>
          <w:rFonts w:cs="Times New Roman"/>
          <w:i/>
          <w:iCs/>
          <w:noProof/>
          <w:szCs w:val="24"/>
        </w:rPr>
        <w:t>Photochem. Photobiol. Sci.</w:t>
      </w:r>
      <w:r w:rsidRPr="00E92323">
        <w:rPr>
          <w:rFonts w:cs="Times New Roman"/>
          <w:noProof/>
          <w:szCs w:val="24"/>
        </w:rPr>
        <w:t xml:space="preserve"> </w:t>
      </w:r>
      <w:r w:rsidRPr="00E92323">
        <w:rPr>
          <w:rFonts w:cs="Times New Roman"/>
          <w:b/>
          <w:bCs/>
          <w:noProof/>
          <w:szCs w:val="24"/>
        </w:rPr>
        <w:t>2007</w:t>
      </w:r>
      <w:r w:rsidRPr="00E92323">
        <w:rPr>
          <w:rFonts w:cs="Times New Roman"/>
          <w:noProof/>
          <w:szCs w:val="24"/>
        </w:rPr>
        <w:t xml:space="preserve">, </w:t>
      </w:r>
      <w:r w:rsidRPr="00E92323">
        <w:rPr>
          <w:rFonts w:cs="Times New Roman"/>
          <w:i/>
          <w:iCs/>
          <w:noProof/>
          <w:szCs w:val="24"/>
        </w:rPr>
        <w:t>6</w:t>
      </w:r>
      <w:r w:rsidRPr="00E92323">
        <w:rPr>
          <w:rFonts w:cs="Times New Roman"/>
          <w:noProof/>
          <w:szCs w:val="24"/>
        </w:rPr>
        <w:t>, 833–835.</w:t>
      </w:r>
    </w:p>
    <w:p w14:paraId="2E4C4ACD"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[32]</w:t>
      </w:r>
      <w:r w:rsidRPr="00E92323">
        <w:rPr>
          <w:rFonts w:cs="Times New Roman"/>
          <w:noProof/>
          <w:szCs w:val="24"/>
        </w:rPr>
        <w:tab/>
        <w:t xml:space="preserve">J. Su, X. Liu, M. Li, T. Zhang, Y. Cui, </w:t>
      </w:r>
      <w:r w:rsidRPr="00E92323">
        <w:rPr>
          <w:rFonts w:cs="Times New Roman"/>
          <w:i/>
          <w:iCs/>
          <w:noProof/>
          <w:szCs w:val="24"/>
        </w:rPr>
        <w:t>Int. J. Polym. Sci.</w:t>
      </w:r>
      <w:r w:rsidRPr="00E92323">
        <w:rPr>
          <w:rFonts w:cs="Times New Roman"/>
          <w:noProof/>
          <w:szCs w:val="24"/>
        </w:rPr>
        <w:t xml:space="preserve"> </w:t>
      </w:r>
      <w:r w:rsidRPr="00E92323">
        <w:rPr>
          <w:rFonts w:cs="Times New Roman"/>
          <w:b/>
          <w:bCs/>
          <w:noProof/>
          <w:szCs w:val="24"/>
        </w:rPr>
        <w:t>2016</w:t>
      </w:r>
      <w:r w:rsidRPr="00E92323">
        <w:rPr>
          <w:rFonts w:cs="Times New Roman"/>
          <w:noProof/>
          <w:szCs w:val="24"/>
        </w:rPr>
        <w:t xml:space="preserve">, </w:t>
      </w:r>
      <w:r w:rsidRPr="00E92323">
        <w:rPr>
          <w:rFonts w:cs="Times New Roman"/>
          <w:i/>
          <w:iCs/>
          <w:noProof/>
          <w:szCs w:val="24"/>
        </w:rPr>
        <w:t>2016</w:t>
      </w:r>
      <w:r w:rsidRPr="00E92323">
        <w:rPr>
          <w:rFonts w:cs="Times New Roman"/>
          <w:noProof/>
          <w:szCs w:val="24"/>
        </w:rPr>
        <w:t>, 1–8.</w:t>
      </w:r>
    </w:p>
    <w:p w14:paraId="3FDE536B"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[33]</w:t>
      </w:r>
      <w:r w:rsidRPr="00E92323">
        <w:rPr>
          <w:rFonts w:cs="Times New Roman"/>
          <w:noProof/>
          <w:szCs w:val="24"/>
        </w:rPr>
        <w:tab/>
        <w:t xml:space="preserve">S. A. Green, D. J. Simpson, G. Zhou, P. S. Ho, N. V. Blough, </w:t>
      </w:r>
      <w:r w:rsidRPr="00E92323">
        <w:rPr>
          <w:rFonts w:cs="Times New Roman"/>
          <w:i/>
          <w:iCs/>
          <w:noProof/>
          <w:szCs w:val="24"/>
        </w:rPr>
        <w:t>J. Am. Chem. Soc.</w:t>
      </w:r>
      <w:r w:rsidRPr="00E92323">
        <w:rPr>
          <w:rFonts w:cs="Times New Roman"/>
          <w:noProof/>
          <w:szCs w:val="24"/>
        </w:rPr>
        <w:t xml:space="preserve"> </w:t>
      </w:r>
      <w:r w:rsidRPr="00E92323">
        <w:rPr>
          <w:rFonts w:cs="Times New Roman"/>
          <w:b/>
          <w:bCs/>
          <w:noProof/>
          <w:szCs w:val="24"/>
        </w:rPr>
        <w:t>1990</w:t>
      </w:r>
      <w:r w:rsidRPr="00E92323">
        <w:rPr>
          <w:rFonts w:cs="Times New Roman"/>
          <w:noProof/>
          <w:szCs w:val="24"/>
        </w:rPr>
        <w:t xml:space="preserve">, </w:t>
      </w:r>
      <w:r w:rsidRPr="00E92323">
        <w:rPr>
          <w:rFonts w:cs="Times New Roman"/>
          <w:i/>
          <w:iCs/>
          <w:noProof/>
          <w:szCs w:val="24"/>
        </w:rPr>
        <w:t>112</w:t>
      </w:r>
      <w:r w:rsidRPr="00E92323">
        <w:rPr>
          <w:rFonts w:cs="Times New Roman"/>
          <w:noProof/>
          <w:szCs w:val="24"/>
        </w:rPr>
        <w:t>, 7337–7346.</w:t>
      </w:r>
    </w:p>
    <w:p w14:paraId="4F330B82"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[34]</w:t>
      </w:r>
      <w:r w:rsidRPr="00E92323">
        <w:rPr>
          <w:rFonts w:cs="Times New Roman"/>
          <w:noProof/>
          <w:szCs w:val="24"/>
        </w:rPr>
        <w:tab/>
        <w:t xml:space="preserve">C. Bueno, L. Mikelsons, L. Maretti, J. C. Scaiano, A. Aspée, </w:t>
      </w:r>
      <w:r w:rsidRPr="00E92323">
        <w:rPr>
          <w:rFonts w:cs="Times New Roman"/>
          <w:i/>
          <w:iCs/>
          <w:noProof/>
          <w:szCs w:val="24"/>
        </w:rPr>
        <w:t>Photochem. Photobiol.</w:t>
      </w:r>
      <w:r w:rsidRPr="00E92323">
        <w:rPr>
          <w:rFonts w:cs="Times New Roman"/>
          <w:noProof/>
          <w:szCs w:val="24"/>
        </w:rPr>
        <w:t xml:space="preserve"> </w:t>
      </w:r>
      <w:r w:rsidRPr="00E92323">
        <w:rPr>
          <w:rFonts w:cs="Times New Roman"/>
          <w:b/>
          <w:bCs/>
          <w:noProof/>
          <w:szCs w:val="24"/>
        </w:rPr>
        <w:t>2008</w:t>
      </w:r>
      <w:r w:rsidRPr="00E92323">
        <w:rPr>
          <w:rFonts w:cs="Times New Roman"/>
          <w:noProof/>
          <w:szCs w:val="24"/>
        </w:rPr>
        <w:t xml:space="preserve">, </w:t>
      </w:r>
      <w:r w:rsidRPr="00E92323">
        <w:rPr>
          <w:rFonts w:cs="Times New Roman"/>
          <w:i/>
          <w:iCs/>
          <w:noProof/>
          <w:szCs w:val="24"/>
        </w:rPr>
        <w:t>84</w:t>
      </w:r>
      <w:r w:rsidRPr="00E92323">
        <w:rPr>
          <w:rFonts w:cs="Times New Roman"/>
          <w:noProof/>
          <w:szCs w:val="24"/>
        </w:rPr>
        <w:t>, 1535–1542.</w:t>
      </w:r>
    </w:p>
    <w:p w14:paraId="744D59AF" w14:textId="61453B9F"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[35]</w:t>
      </w:r>
      <w:r w:rsidRPr="00E92323">
        <w:rPr>
          <w:rFonts w:cs="Times New Roman"/>
          <w:noProof/>
          <w:szCs w:val="24"/>
        </w:rPr>
        <w:tab/>
        <w:t xml:space="preserve">S. Sato, M. Suzuki, T. Soma, M. Tsunoda, </w:t>
      </w:r>
      <w:r w:rsidRPr="00E92323">
        <w:rPr>
          <w:rFonts w:cs="Times New Roman"/>
          <w:i/>
          <w:iCs/>
          <w:noProof/>
          <w:szCs w:val="24"/>
        </w:rPr>
        <w:t>Spectrochim. Acta A</w:t>
      </w:r>
      <w:r w:rsidRPr="00E92323">
        <w:rPr>
          <w:rFonts w:cs="Times New Roman"/>
          <w:noProof/>
          <w:szCs w:val="24"/>
        </w:rPr>
        <w:t xml:space="preserve"> </w:t>
      </w:r>
      <w:r w:rsidRPr="00E92323">
        <w:rPr>
          <w:rFonts w:cs="Times New Roman"/>
          <w:b/>
          <w:bCs/>
          <w:noProof/>
          <w:szCs w:val="24"/>
        </w:rPr>
        <w:t>2008</w:t>
      </w:r>
      <w:r w:rsidRPr="00E92323">
        <w:rPr>
          <w:rFonts w:cs="Times New Roman"/>
          <w:noProof/>
          <w:szCs w:val="24"/>
        </w:rPr>
        <w:t xml:space="preserve">, </w:t>
      </w:r>
      <w:r w:rsidRPr="00E92323">
        <w:rPr>
          <w:rFonts w:cs="Times New Roman"/>
          <w:i/>
          <w:iCs/>
          <w:noProof/>
          <w:szCs w:val="24"/>
        </w:rPr>
        <w:t>70</w:t>
      </w:r>
      <w:r w:rsidRPr="00E92323">
        <w:rPr>
          <w:rFonts w:cs="Times New Roman"/>
          <w:noProof/>
          <w:szCs w:val="24"/>
        </w:rPr>
        <w:t>, 799–804.</w:t>
      </w:r>
    </w:p>
    <w:p w14:paraId="56767826" w14:textId="0A9780A5"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[36]</w:t>
      </w:r>
      <w:r w:rsidRPr="00E92323">
        <w:rPr>
          <w:rFonts w:cs="Times New Roman"/>
          <w:noProof/>
          <w:szCs w:val="24"/>
        </w:rPr>
        <w:tab/>
        <w:t xml:space="preserve">S. Sato, M. Tsunoda, M. Suzuki, M. Kutsuna, K. Takido-uchi, M. Shindo, H. Mizuguchi, H. Obara, H. Ohya, </w:t>
      </w:r>
      <w:r w:rsidRPr="00E92323">
        <w:rPr>
          <w:rFonts w:cs="Times New Roman"/>
          <w:i/>
          <w:iCs/>
          <w:noProof/>
          <w:szCs w:val="24"/>
        </w:rPr>
        <w:t xml:space="preserve">Spectrochim. Acta A </w:t>
      </w:r>
      <w:r w:rsidRPr="00E92323">
        <w:rPr>
          <w:rFonts w:cs="Times New Roman"/>
          <w:b/>
          <w:bCs/>
          <w:noProof/>
          <w:szCs w:val="24"/>
        </w:rPr>
        <w:t>2009</w:t>
      </w:r>
      <w:r w:rsidRPr="00E92323">
        <w:rPr>
          <w:rFonts w:cs="Times New Roman"/>
          <w:noProof/>
          <w:szCs w:val="24"/>
        </w:rPr>
        <w:t xml:space="preserve">, </w:t>
      </w:r>
      <w:r w:rsidRPr="00E92323">
        <w:rPr>
          <w:rFonts w:cs="Times New Roman"/>
          <w:i/>
          <w:iCs/>
          <w:noProof/>
          <w:szCs w:val="24"/>
        </w:rPr>
        <w:t>71</w:t>
      </w:r>
      <w:r w:rsidRPr="00E92323">
        <w:rPr>
          <w:rFonts w:cs="Times New Roman"/>
          <w:noProof/>
          <w:szCs w:val="24"/>
        </w:rPr>
        <w:t>, 2030–2039.</w:t>
      </w:r>
    </w:p>
    <w:p w14:paraId="19EC2119"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[37]</w:t>
      </w:r>
      <w:r w:rsidRPr="00E92323">
        <w:rPr>
          <w:rFonts w:cs="Times New Roman"/>
          <w:noProof/>
          <w:szCs w:val="24"/>
        </w:rPr>
        <w:tab/>
        <w:t xml:space="preserve">C. Aliaga, M. C. Rezende, C. Tirapegui, </w:t>
      </w:r>
      <w:r w:rsidRPr="00E92323">
        <w:rPr>
          <w:rFonts w:cs="Times New Roman"/>
          <w:i/>
          <w:iCs/>
          <w:noProof/>
          <w:szCs w:val="24"/>
        </w:rPr>
        <w:t>Tetrahedron</w:t>
      </w:r>
      <w:r w:rsidRPr="00E92323">
        <w:rPr>
          <w:rFonts w:cs="Times New Roman"/>
          <w:noProof/>
          <w:szCs w:val="24"/>
        </w:rPr>
        <w:t xml:space="preserve"> </w:t>
      </w:r>
      <w:r w:rsidRPr="00E92323">
        <w:rPr>
          <w:rFonts w:cs="Times New Roman"/>
          <w:b/>
          <w:bCs/>
          <w:noProof/>
          <w:szCs w:val="24"/>
        </w:rPr>
        <w:t>2009</w:t>
      </w:r>
      <w:r w:rsidRPr="00E92323">
        <w:rPr>
          <w:rFonts w:cs="Times New Roman"/>
          <w:noProof/>
          <w:szCs w:val="24"/>
        </w:rPr>
        <w:t xml:space="preserve">, </w:t>
      </w:r>
      <w:r w:rsidRPr="00E92323">
        <w:rPr>
          <w:rFonts w:cs="Times New Roman"/>
          <w:i/>
          <w:iCs/>
          <w:noProof/>
          <w:szCs w:val="24"/>
        </w:rPr>
        <w:t>65</w:t>
      </w:r>
      <w:r w:rsidRPr="00E92323">
        <w:rPr>
          <w:rFonts w:cs="Times New Roman"/>
          <w:noProof/>
          <w:szCs w:val="24"/>
        </w:rPr>
        <w:t>, 6025–6028.</w:t>
      </w:r>
    </w:p>
    <w:p w14:paraId="12BE8703"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[38]</w:t>
      </w:r>
      <w:r w:rsidRPr="00E92323">
        <w:rPr>
          <w:rFonts w:cs="Times New Roman"/>
          <w:noProof/>
          <w:szCs w:val="24"/>
        </w:rPr>
        <w:tab/>
        <w:t xml:space="preserve">Y. Liu, M. Zhu, J. Xu, H. Zhang, M. Tian, </w:t>
      </w:r>
      <w:r w:rsidRPr="00E92323">
        <w:rPr>
          <w:rFonts w:cs="Times New Roman"/>
          <w:i/>
          <w:iCs/>
          <w:noProof/>
          <w:szCs w:val="24"/>
        </w:rPr>
        <w:t>Analyst</w:t>
      </w:r>
      <w:r w:rsidRPr="00E92323">
        <w:rPr>
          <w:rFonts w:cs="Times New Roman"/>
          <w:noProof/>
          <w:szCs w:val="24"/>
        </w:rPr>
        <w:t xml:space="preserve"> </w:t>
      </w:r>
      <w:r w:rsidRPr="00E92323">
        <w:rPr>
          <w:rFonts w:cs="Times New Roman"/>
          <w:b/>
          <w:bCs/>
          <w:noProof/>
          <w:szCs w:val="24"/>
        </w:rPr>
        <w:t>2011</w:t>
      </w:r>
      <w:r w:rsidRPr="00E92323">
        <w:rPr>
          <w:rFonts w:cs="Times New Roman"/>
          <w:noProof/>
          <w:szCs w:val="24"/>
        </w:rPr>
        <w:t xml:space="preserve">, </w:t>
      </w:r>
      <w:r w:rsidRPr="00E92323">
        <w:rPr>
          <w:rFonts w:cs="Times New Roman"/>
          <w:i/>
          <w:iCs/>
          <w:noProof/>
          <w:szCs w:val="24"/>
        </w:rPr>
        <w:t>136</w:t>
      </w:r>
      <w:r w:rsidRPr="00E92323">
        <w:rPr>
          <w:rFonts w:cs="Times New Roman"/>
          <w:noProof/>
          <w:szCs w:val="24"/>
        </w:rPr>
        <w:t>, 4316–4320.</w:t>
      </w:r>
    </w:p>
    <w:p w14:paraId="324E4A25"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[39]</w:t>
      </w:r>
      <w:r w:rsidRPr="00E92323">
        <w:rPr>
          <w:rFonts w:cs="Times New Roman"/>
          <w:noProof/>
          <w:szCs w:val="24"/>
        </w:rPr>
        <w:tab/>
        <w:t xml:space="preserve">F. Mito, K. Kitagawa, T. Yamasaki, C. Shirahama, T. Oishi, Y. Ito, M. Yamato, K. I. Yamada, </w:t>
      </w:r>
      <w:r w:rsidRPr="00E92323">
        <w:rPr>
          <w:rFonts w:cs="Times New Roman"/>
          <w:i/>
          <w:iCs/>
          <w:noProof/>
          <w:szCs w:val="24"/>
        </w:rPr>
        <w:t>Free Radic. Res.</w:t>
      </w:r>
      <w:r w:rsidRPr="00E92323">
        <w:rPr>
          <w:rFonts w:cs="Times New Roman"/>
          <w:noProof/>
          <w:szCs w:val="24"/>
        </w:rPr>
        <w:t xml:space="preserve"> </w:t>
      </w:r>
      <w:r w:rsidRPr="00E92323">
        <w:rPr>
          <w:rFonts w:cs="Times New Roman"/>
          <w:b/>
          <w:bCs/>
          <w:noProof/>
          <w:szCs w:val="24"/>
        </w:rPr>
        <w:t>2011</w:t>
      </w:r>
      <w:r w:rsidRPr="00E92323">
        <w:rPr>
          <w:rFonts w:cs="Times New Roman"/>
          <w:noProof/>
          <w:szCs w:val="24"/>
        </w:rPr>
        <w:t xml:space="preserve">, </w:t>
      </w:r>
      <w:r w:rsidRPr="00E92323">
        <w:rPr>
          <w:rFonts w:cs="Times New Roman"/>
          <w:i/>
          <w:iCs/>
          <w:noProof/>
          <w:szCs w:val="24"/>
        </w:rPr>
        <w:t>45</w:t>
      </w:r>
      <w:r w:rsidRPr="00E92323">
        <w:rPr>
          <w:rFonts w:cs="Times New Roman"/>
          <w:noProof/>
          <w:szCs w:val="24"/>
        </w:rPr>
        <w:t>, 1103–1110.</w:t>
      </w:r>
    </w:p>
    <w:p w14:paraId="007F2EEF"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[40]</w:t>
      </w:r>
      <w:r w:rsidRPr="00E92323">
        <w:rPr>
          <w:rFonts w:cs="Times New Roman"/>
          <w:noProof/>
          <w:szCs w:val="24"/>
        </w:rPr>
        <w:tab/>
        <w:t xml:space="preserve">N. B. Yapici, S. Jockusch, A. Moscatelli, S. R. Mandalapu, Y. Itagaki, D. K. Bates, S. </w:t>
      </w:r>
      <w:r w:rsidRPr="00E92323">
        <w:rPr>
          <w:rFonts w:cs="Times New Roman"/>
          <w:noProof/>
          <w:szCs w:val="24"/>
        </w:rPr>
        <w:lastRenderedPageBreak/>
        <w:t xml:space="preserve">Wiseman, K. M. Gibson, N. J. Turro, L. Bi, </w:t>
      </w:r>
      <w:r w:rsidRPr="00E92323">
        <w:rPr>
          <w:rFonts w:cs="Times New Roman"/>
          <w:i/>
          <w:iCs/>
          <w:noProof/>
          <w:szCs w:val="24"/>
        </w:rPr>
        <w:t>Org. Lett.</w:t>
      </w:r>
      <w:r w:rsidRPr="00E92323">
        <w:rPr>
          <w:rFonts w:cs="Times New Roman"/>
          <w:noProof/>
          <w:szCs w:val="24"/>
        </w:rPr>
        <w:t xml:space="preserve"> </w:t>
      </w:r>
      <w:r w:rsidRPr="00E92323">
        <w:rPr>
          <w:rFonts w:cs="Times New Roman"/>
          <w:b/>
          <w:bCs/>
          <w:noProof/>
          <w:szCs w:val="24"/>
        </w:rPr>
        <w:t>2012</w:t>
      </w:r>
      <w:r w:rsidRPr="00E92323">
        <w:rPr>
          <w:rFonts w:cs="Times New Roman"/>
          <w:noProof/>
          <w:szCs w:val="24"/>
        </w:rPr>
        <w:t xml:space="preserve">, </w:t>
      </w:r>
      <w:r w:rsidRPr="00E92323">
        <w:rPr>
          <w:rFonts w:cs="Times New Roman"/>
          <w:i/>
          <w:iCs/>
          <w:noProof/>
          <w:szCs w:val="24"/>
        </w:rPr>
        <w:t>14</w:t>
      </w:r>
      <w:r w:rsidRPr="00E92323">
        <w:rPr>
          <w:rFonts w:cs="Times New Roman"/>
          <w:noProof/>
          <w:szCs w:val="24"/>
        </w:rPr>
        <w:t>, 50–53.</w:t>
      </w:r>
    </w:p>
    <w:p w14:paraId="2A3830DC"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[41]</w:t>
      </w:r>
      <w:r w:rsidRPr="00E92323">
        <w:rPr>
          <w:rFonts w:cs="Times New Roman"/>
          <w:noProof/>
          <w:szCs w:val="24"/>
        </w:rPr>
        <w:tab/>
        <w:t xml:space="preserve">L. Cao, Q. Wu, Q. Li, S. Shao, Y. Guo, </w:t>
      </w:r>
      <w:r w:rsidRPr="00E92323">
        <w:rPr>
          <w:rFonts w:cs="Times New Roman"/>
          <w:i/>
          <w:iCs/>
          <w:noProof/>
          <w:szCs w:val="24"/>
        </w:rPr>
        <w:t>J. Fluoresc.</w:t>
      </w:r>
      <w:r w:rsidRPr="00E92323">
        <w:rPr>
          <w:rFonts w:cs="Times New Roman"/>
          <w:noProof/>
          <w:szCs w:val="24"/>
        </w:rPr>
        <w:t xml:space="preserve"> </w:t>
      </w:r>
      <w:r w:rsidRPr="00E92323">
        <w:rPr>
          <w:rFonts w:cs="Times New Roman"/>
          <w:b/>
          <w:bCs/>
          <w:noProof/>
          <w:szCs w:val="24"/>
        </w:rPr>
        <w:t>2014</w:t>
      </w:r>
      <w:r w:rsidRPr="00E92323">
        <w:rPr>
          <w:rFonts w:cs="Times New Roman"/>
          <w:noProof/>
          <w:szCs w:val="24"/>
        </w:rPr>
        <w:t xml:space="preserve">, </w:t>
      </w:r>
      <w:r w:rsidRPr="00E92323">
        <w:rPr>
          <w:rFonts w:cs="Times New Roman"/>
          <w:i/>
          <w:iCs/>
          <w:noProof/>
          <w:szCs w:val="24"/>
        </w:rPr>
        <w:t>24</w:t>
      </w:r>
      <w:r w:rsidRPr="00E92323">
        <w:rPr>
          <w:rFonts w:cs="Times New Roman"/>
          <w:noProof/>
          <w:szCs w:val="24"/>
        </w:rPr>
        <w:t>, 313–318.</w:t>
      </w:r>
    </w:p>
    <w:p w14:paraId="48B73DF1"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[42]</w:t>
      </w:r>
      <w:r w:rsidRPr="00E92323">
        <w:rPr>
          <w:rFonts w:cs="Times New Roman"/>
          <w:noProof/>
          <w:szCs w:val="24"/>
        </w:rPr>
        <w:tab/>
        <w:t xml:space="preserve">C. Aliaga, P. Fuentealba, M. C. Rezende, C. Cárdenas, </w:t>
      </w:r>
      <w:r w:rsidRPr="00E92323">
        <w:rPr>
          <w:rFonts w:cs="Times New Roman"/>
          <w:i/>
          <w:iCs/>
          <w:noProof/>
          <w:szCs w:val="24"/>
        </w:rPr>
        <w:t>Chem. Phys. Lett.</w:t>
      </w:r>
      <w:r w:rsidRPr="00E92323">
        <w:rPr>
          <w:rFonts w:cs="Times New Roman"/>
          <w:noProof/>
          <w:szCs w:val="24"/>
        </w:rPr>
        <w:t xml:space="preserve"> </w:t>
      </w:r>
      <w:r w:rsidRPr="00E92323">
        <w:rPr>
          <w:rFonts w:cs="Times New Roman"/>
          <w:b/>
          <w:bCs/>
          <w:noProof/>
          <w:szCs w:val="24"/>
        </w:rPr>
        <w:t>2014</w:t>
      </w:r>
      <w:r w:rsidRPr="00E92323">
        <w:rPr>
          <w:rFonts w:cs="Times New Roman"/>
          <w:noProof/>
          <w:szCs w:val="24"/>
        </w:rPr>
        <w:t xml:space="preserve">, </w:t>
      </w:r>
      <w:r w:rsidRPr="00E92323">
        <w:rPr>
          <w:rFonts w:cs="Times New Roman"/>
          <w:i/>
          <w:iCs/>
          <w:noProof/>
          <w:szCs w:val="24"/>
        </w:rPr>
        <w:t>593</w:t>
      </w:r>
      <w:r w:rsidRPr="00E92323">
        <w:rPr>
          <w:rFonts w:cs="Times New Roman"/>
          <w:noProof/>
          <w:szCs w:val="24"/>
        </w:rPr>
        <w:t>, 89–92.</w:t>
      </w:r>
    </w:p>
    <w:p w14:paraId="38D0199C"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[43]</w:t>
      </w:r>
      <w:r w:rsidRPr="00E92323">
        <w:rPr>
          <w:rFonts w:cs="Times New Roman"/>
          <w:noProof/>
          <w:szCs w:val="24"/>
        </w:rPr>
        <w:tab/>
        <w:t xml:space="preserve">C. Xu, L. Cai, </w:t>
      </w:r>
      <w:r w:rsidRPr="00E92323">
        <w:rPr>
          <w:rFonts w:cs="Times New Roman"/>
          <w:i/>
          <w:iCs/>
          <w:noProof/>
          <w:szCs w:val="24"/>
        </w:rPr>
        <w:t>Luminescence</w:t>
      </w:r>
      <w:r w:rsidRPr="00E92323">
        <w:rPr>
          <w:rFonts w:cs="Times New Roman"/>
          <w:noProof/>
          <w:szCs w:val="24"/>
        </w:rPr>
        <w:t xml:space="preserve"> </w:t>
      </w:r>
      <w:r w:rsidRPr="00E92323">
        <w:rPr>
          <w:rFonts w:cs="Times New Roman"/>
          <w:b/>
          <w:bCs/>
          <w:noProof/>
          <w:szCs w:val="24"/>
        </w:rPr>
        <w:t>2014</w:t>
      </w:r>
      <w:r w:rsidRPr="00E92323">
        <w:rPr>
          <w:rFonts w:cs="Times New Roman"/>
          <w:noProof/>
          <w:szCs w:val="24"/>
        </w:rPr>
        <w:t xml:space="preserve">, </w:t>
      </w:r>
      <w:r w:rsidRPr="00E92323">
        <w:rPr>
          <w:rFonts w:cs="Times New Roman"/>
          <w:i/>
          <w:iCs/>
          <w:noProof/>
          <w:szCs w:val="24"/>
        </w:rPr>
        <w:t>29</w:t>
      </w:r>
      <w:r w:rsidRPr="00E92323">
        <w:rPr>
          <w:rFonts w:cs="Times New Roman"/>
          <w:noProof/>
          <w:szCs w:val="24"/>
        </w:rPr>
        <w:t>, 36–41.</w:t>
      </w:r>
    </w:p>
    <w:p w14:paraId="227349BE"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[44]</w:t>
      </w:r>
      <w:r w:rsidRPr="00E92323">
        <w:rPr>
          <w:rFonts w:cs="Times New Roman"/>
          <w:noProof/>
          <w:szCs w:val="24"/>
        </w:rPr>
        <w:tab/>
        <w:t xml:space="preserve">C. Aliaga, F. Celis, S. Lühr, R. Oñate, </w:t>
      </w:r>
      <w:r w:rsidRPr="00E92323">
        <w:rPr>
          <w:rFonts w:cs="Times New Roman"/>
          <w:i/>
          <w:iCs/>
          <w:noProof/>
          <w:szCs w:val="24"/>
        </w:rPr>
        <w:t>J. Fluoresc.</w:t>
      </w:r>
      <w:r w:rsidRPr="00E92323">
        <w:rPr>
          <w:rFonts w:cs="Times New Roman"/>
          <w:noProof/>
          <w:szCs w:val="24"/>
        </w:rPr>
        <w:t xml:space="preserve"> </w:t>
      </w:r>
      <w:r w:rsidRPr="00E92323">
        <w:rPr>
          <w:rFonts w:cs="Times New Roman"/>
          <w:b/>
          <w:bCs/>
          <w:noProof/>
          <w:szCs w:val="24"/>
        </w:rPr>
        <w:t>2015</w:t>
      </w:r>
      <w:r w:rsidRPr="00E92323">
        <w:rPr>
          <w:rFonts w:cs="Times New Roman"/>
          <w:noProof/>
          <w:szCs w:val="24"/>
        </w:rPr>
        <w:t xml:space="preserve">, </w:t>
      </w:r>
      <w:r w:rsidRPr="00E92323">
        <w:rPr>
          <w:rFonts w:cs="Times New Roman"/>
          <w:i/>
          <w:iCs/>
          <w:noProof/>
          <w:szCs w:val="24"/>
        </w:rPr>
        <w:t>25</w:t>
      </w:r>
      <w:r w:rsidRPr="00E92323">
        <w:rPr>
          <w:rFonts w:cs="Times New Roman"/>
          <w:noProof/>
          <w:szCs w:val="24"/>
        </w:rPr>
        <w:t>, 979–983.</w:t>
      </w:r>
    </w:p>
    <w:p w14:paraId="3BE0D038"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[45]</w:t>
      </w:r>
      <w:r w:rsidRPr="00E92323">
        <w:rPr>
          <w:rFonts w:cs="Times New Roman"/>
          <w:noProof/>
          <w:szCs w:val="24"/>
        </w:rPr>
        <w:tab/>
        <w:t xml:space="preserve">S. E. Bottle, J. L. Clement, M. Fleige, E. M. Simpson, Y. Guillaneuf, K. E. Fairfull-Smith, D. Gigmes, J. P. Blinco, </w:t>
      </w:r>
      <w:r w:rsidRPr="00E92323">
        <w:rPr>
          <w:rFonts w:cs="Times New Roman"/>
          <w:i/>
          <w:iCs/>
          <w:noProof/>
          <w:szCs w:val="24"/>
        </w:rPr>
        <w:t>RSC Adv.</w:t>
      </w:r>
      <w:r w:rsidRPr="00E92323">
        <w:rPr>
          <w:rFonts w:cs="Times New Roman"/>
          <w:noProof/>
          <w:szCs w:val="24"/>
        </w:rPr>
        <w:t xml:space="preserve"> </w:t>
      </w:r>
      <w:r w:rsidRPr="00E92323">
        <w:rPr>
          <w:rFonts w:cs="Times New Roman"/>
          <w:b/>
          <w:bCs/>
          <w:noProof/>
          <w:szCs w:val="24"/>
        </w:rPr>
        <w:t>2016</w:t>
      </w:r>
      <w:r w:rsidRPr="00E92323">
        <w:rPr>
          <w:rFonts w:cs="Times New Roman"/>
          <w:noProof/>
          <w:szCs w:val="24"/>
        </w:rPr>
        <w:t xml:space="preserve">, </w:t>
      </w:r>
      <w:r w:rsidRPr="00E92323">
        <w:rPr>
          <w:rFonts w:cs="Times New Roman"/>
          <w:i/>
          <w:iCs/>
          <w:noProof/>
          <w:szCs w:val="24"/>
        </w:rPr>
        <w:t>6</w:t>
      </w:r>
      <w:r w:rsidRPr="00E92323">
        <w:rPr>
          <w:rFonts w:cs="Times New Roman"/>
          <w:noProof/>
          <w:szCs w:val="24"/>
        </w:rPr>
        <w:t>, 80328–80333.</w:t>
      </w:r>
    </w:p>
    <w:p w14:paraId="3AA0D826" w14:textId="5D57DBE3"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[46]</w:t>
      </w:r>
      <w:r w:rsidRPr="00E92323">
        <w:rPr>
          <w:rFonts w:cs="Times New Roman"/>
          <w:noProof/>
          <w:szCs w:val="24"/>
        </w:rPr>
        <w:tab/>
        <w:t xml:space="preserve">A. Kaur, J. L. Kolanowski, E. J. New, </w:t>
      </w:r>
      <w:r w:rsidRPr="00E92323">
        <w:rPr>
          <w:rFonts w:cs="Times New Roman"/>
          <w:i/>
          <w:iCs/>
          <w:noProof/>
          <w:szCs w:val="24"/>
        </w:rPr>
        <w:t>Angew. Chemi</w:t>
      </w:r>
      <w:r w:rsidR="00124472">
        <w:rPr>
          <w:rFonts w:cs="Times New Roman"/>
          <w:i/>
          <w:iCs/>
          <w:noProof/>
          <w:szCs w:val="24"/>
        </w:rPr>
        <w:t>.</w:t>
      </w:r>
      <w:r w:rsidRPr="00E92323">
        <w:rPr>
          <w:rFonts w:cs="Times New Roman"/>
          <w:i/>
          <w:iCs/>
          <w:noProof/>
          <w:szCs w:val="24"/>
        </w:rPr>
        <w:t xml:space="preserve"> Int. Ed.</w:t>
      </w:r>
      <w:r w:rsidRPr="00E92323">
        <w:rPr>
          <w:rFonts w:cs="Times New Roman"/>
          <w:noProof/>
          <w:szCs w:val="24"/>
        </w:rPr>
        <w:t xml:space="preserve"> </w:t>
      </w:r>
      <w:r w:rsidRPr="00E92323">
        <w:rPr>
          <w:rFonts w:cs="Times New Roman"/>
          <w:b/>
          <w:bCs/>
          <w:noProof/>
          <w:szCs w:val="24"/>
        </w:rPr>
        <w:t>2016</w:t>
      </w:r>
      <w:r w:rsidRPr="00E92323">
        <w:rPr>
          <w:rFonts w:cs="Times New Roman"/>
          <w:noProof/>
          <w:szCs w:val="24"/>
        </w:rPr>
        <w:t xml:space="preserve">, </w:t>
      </w:r>
      <w:r w:rsidRPr="00E92323">
        <w:rPr>
          <w:rFonts w:cs="Times New Roman"/>
          <w:i/>
          <w:iCs/>
          <w:noProof/>
          <w:szCs w:val="24"/>
        </w:rPr>
        <w:t>55</w:t>
      </w:r>
      <w:r w:rsidRPr="00E92323">
        <w:rPr>
          <w:rFonts w:cs="Times New Roman"/>
          <w:noProof/>
          <w:szCs w:val="24"/>
        </w:rPr>
        <w:t>, 1602–1613.</w:t>
      </w:r>
    </w:p>
    <w:p w14:paraId="4791018C"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[47]</w:t>
      </w:r>
      <w:r w:rsidRPr="00E92323">
        <w:rPr>
          <w:rFonts w:cs="Times New Roman"/>
          <w:noProof/>
          <w:szCs w:val="24"/>
        </w:rPr>
        <w:tab/>
        <w:t xml:space="preserve">S. E. Herbelin, N. V. Blough, </w:t>
      </w:r>
      <w:r w:rsidRPr="00E92323">
        <w:rPr>
          <w:rFonts w:cs="Times New Roman"/>
          <w:i/>
          <w:iCs/>
          <w:noProof/>
          <w:szCs w:val="24"/>
        </w:rPr>
        <w:t>J. Phys. Chem. B</w:t>
      </w:r>
      <w:r w:rsidRPr="00E92323">
        <w:rPr>
          <w:rFonts w:cs="Times New Roman"/>
          <w:noProof/>
          <w:szCs w:val="24"/>
        </w:rPr>
        <w:t xml:space="preserve"> </w:t>
      </w:r>
      <w:r w:rsidRPr="00E92323">
        <w:rPr>
          <w:rFonts w:cs="Times New Roman"/>
          <w:b/>
          <w:bCs/>
          <w:noProof/>
          <w:szCs w:val="24"/>
        </w:rPr>
        <w:t>1998</w:t>
      </w:r>
      <w:r w:rsidRPr="00E92323">
        <w:rPr>
          <w:rFonts w:cs="Times New Roman"/>
          <w:noProof/>
          <w:szCs w:val="24"/>
        </w:rPr>
        <w:t xml:space="preserve">, </w:t>
      </w:r>
      <w:r w:rsidRPr="00E92323">
        <w:rPr>
          <w:rFonts w:cs="Times New Roman"/>
          <w:i/>
          <w:iCs/>
          <w:noProof/>
          <w:szCs w:val="24"/>
        </w:rPr>
        <w:t>102</w:t>
      </w:r>
      <w:r w:rsidRPr="00E92323">
        <w:rPr>
          <w:rFonts w:cs="Times New Roman"/>
          <w:noProof/>
          <w:szCs w:val="24"/>
        </w:rPr>
        <w:t>, 8170–8176.</w:t>
      </w:r>
    </w:p>
    <w:p w14:paraId="20F5263D"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[48]</w:t>
      </w:r>
      <w:r w:rsidRPr="00E92323">
        <w:rPr>
          <w:rFonts w:cs="Times New Roman"/>
          <w:noProof/>
          <w:szCs w:val="24"/>
        </w:rPr>
        <w:tab/>
        <w:t xml:space="preserve">Z. Rappoport, J. F. Liebman, Eds. , </w:t>
      </w:r>
      <w:r w:rsidRPr="00E92323">
        <w:rPr>
          <w:rFonts w:cs="Times New Roman"/>
          <w:i/>
          <w:iCs/>
          <w:noProof/>
          <w:szCs w:val="24"/>
        </w:rPr>
        <w:t>The Chemistry of Hydroxylamines, Oximes and Hydroxamic Acids</w:t>
      </w:r>
      <w:r w:rsidRPr="00E92323">
        <w:rPr>
          <w:rFonts w:cs="Times New Roman"/>
          <w:noProof/>
          <w:szCs w:val="24"/>
        </w:rPr>
        <w:t xml:space="preserve">, John Wiley &amp; Sons, Ltd., Chichester, United Kingdom, </w:t>
      </w:r>
      <w:r w:rsidRPr="00E92323">
        <w:rPr>
          <w:rFonts w:cs="Times New Roman"/>
          <w:b/>
          <w:bCs/>
          <w:noProof/>
          <w:szCs w:val="24"/>
        </w:rPr>
        <w:t>2009</w:t>
      </w:r>
      <w:r w:rsidRPr="00E92323">
        <w:rPr>
          <w:rFonts w:cs="Times New Roman"/>
          <w:noProof/>
          <w:szCs w:val="24"/>
        </w:rPr>
        <w:t>.</w:t>
      </w:r>
    </w:p>
    <w:p w14:paraId="77C8A57C"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[49]</w:t>
      </w:r>
      <w:r w:rsidRPr="00E92323">
        <w:rPr>
          <w:rFonts w:cs="Times New Roman"/>
          <w:noProof/>
          <w:szCs w:val="24"/>
        </w:rPr>
        <w:tab/>
        <w:t xml:space="preserve">S. A. F. Bon, G. Chambard, A. L. German, </w:t>
      </w:r>
      <w:r w:rsidRPr="00E92323">
        <w:rPr>
          <w:rFonts w:cs="Times New Roman"/>
          <w:i/>
          <w:iCs/>
          <w:noProof/>
          <w:szCs w:val="24"/>
        </w:rPr>
        <w:t>Macromolecules</w:t>
      </w:r>
      <w:r w:rsidRPr="00E92323">
        <w:rPr>
          <w:rFonts w:cs="Times New Roman"/>
          <w:noProof/>
          <w:szCs w:val="24"/>
        </w:rPr>
        <w:t xml:space="preserve"> </w:t>
      </w:r>
      <w:r w:rsidRPr="00E92323">
        <w:rPr>
          <w:rFonts w:cs="Times New Roman"/>
          <w:b/>
          <w:bCs/>
          <w:noProof/>
          <w:szCs w:val="24"/>
        </w:rPr>
        <w:t>1999</w:t>
      </w:r>
      <w:r w:rsidRPr="00E92323">
        <w:rPr>
          <w:rFonts w:cs="Times New Roman"/>
          <w:noProof/>
          <w:szCs w:val="24"/>
        </w:rPr>
        <w:t xml:space="preserve">, </w:t>
      </w:r>
      <w:r w:rsidRPr="00E92323">
        <w:rPr>
          <w:rFonts w:cs="Times New Roman"/>
          <w:i/>
          <w:iCs/>
          <w:noProof/>
          <w:szCs w:val="24"/>
        </w:rPr>
        <w:t>32</w:t>
      </w:r>
      <w:r w:rsidRPr="00E92323">
        <w:rPr>
          <w:rFonts w:cs="Times New Roman"/>
          <w:noProof/>
          <w:szCs w:val="24"/>
        </w:rPr>
        <w:t>, 8269–8276.</w:t>
      </w:r>
    </w:p>
    <w:p w14:paraId="67817025"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[50]</w:t>
      </w:r>
      <w:r w:rsidRPr="00E92323">
        <w:rPr>
          <w:rFonts w:cs="Times New Roman"/>
          <w:noProof/>
          <w:szCs w:val="24"/>
        </w:rPr>
        <w:tab/>
        <w:t xml:space="preserve">S. Marque, H. Fischer, E. Baier, A. Studer, </w:t>
      </w:r>
      <w:r w:rsidRPr="00E92323">
        <w:rPr>
          <w:rFonts w:cs="Times New Roman"/>
          <w:i/>
          <w:iCs/>
          <w:noProof/>
          <w:szCs w:val="24"/>
        </w:rPr>
        <w:t>J. Org. Chem.</w:t>
      </w:r>
      <w:r w:rsidRPr="00E92323">
        <w:rPr>
          <w:rFonts w:cs="Times New Roman"/>
          <w:noProof/>
          <w:szCs w:val="24"/>
        </w:rPr>
        <w:t xml:space="preserve"> </w:t>
      </w:r>
      <w:r w:rsidRPr="00E92323">
        <w:rPr>
          <w:rFonts w:cs="Times New Roman"/>
          <w:b/>
          <w:bCs/>
          <w:noProof/>
          <w:szCs w:val="24"/>
        </w:rPr>
        <w:t>2001</w:t>
      </w:r>
      <w:r w:rsidRPr="00E92323">
        <w:rPr>
          <w:rFonts w:cs="Times New Roman"/>
          <w:noProof/>
          <w:szCs w:val="24"/>
        </w:rPr>
        <w:t xml:space="preserve">, </w:t>
      </w:r>
      <w:r w:rsidRPr="00E92323">
        <w:rPr>
          <w:rFonts w:cs="Times New Roman"/>
          <w:i/>
          <w:iCs/>
          <w:noProof/>
          <w:szCs w:val="24"/>
        </w:rPr>
        <w:t>66</w:t>
      </w:r>
      <w:r w:rsidRPr="00E92323">
        <w:rPr>
          <w:rFonts w:cs="Times New Roman"/>
          <w:noProof/>
          <w:szCs w:val="24"/>
        </w:rPr>
        <w:t>, 1146–1156.</w:t>
      </w:r>
    </w:p>
    <w:p w14:paraId="6BB81D12"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[51]</w:t>
      </w:r>
      <w:r w:rsidRPr="00E92323">
        <w:rPr>
          <w:rFonts w:cs="Times New Roman"/>
          <w:noProof/>
          <w:szCs w:val="24"/>
        </w:rPr>
        <w:tab/>
        <w:t xml:space="preserve">S. Marque, C. Le Mercier, P. Tordo, H. Fischer, </w:t>
      </w:r>
      <w:r w:rsidRPr="00E92323">
        <w:rPr>
          <w:rFonts w:cs="Times New Roman"/>
          <w:i/>
          <w:iCs/>
          <w:noProof/>
          <w:szCs w:val="24"/>
        </w:rPr>
        <w:t>Macromolecules</w:t>
      </w:r>
      <w:r w:rsidRPr="00E92323">
        <w:rPr>
          <w:rFonts w:cs="Times New Roman"/>
          <w:noProof/>
          <w:szCs w:val="24"/>
        </w:rPr>
        <w:t xml:space="preserve"> </w:t>
      </w:r>
      <w:r w:rsidRPr="00E92323">
        <w:rPr>
          <w:rFonts w:cs="Times New Roman"/>
          <w:b/>
          <w:bCs/>
          <w:noProof/>
          <w:szCs w:val="24"/>
        </w:rPr>
        <w:t>2000</w:t>
      </w:r>
      <w:r w:rsidRPr="00E92323">
        <w:rPr>
          <w:rFonts w:cs="Times New Roman"/>
          <w:noProof/>
          <w:szCs w:val="24"/>
        </w:rPr>
        <w:t xml:space="preserve">, </w:t>
      </w:r>
      <w:r w:rsidRPr="00E92323">
        <w:rPr>
          <w:rFonts w:cs="Times New Roman"/>
          <w:i/>
          <w:iCs/>
          <w:noProof/>
          <w:szCs w:val="24"/>
        </w:rPr>
        <w:t>33</w:t>
      </w:r>
      <w:r w:rsidRPr="00E92323">
        <w:rPr>
          <w:rFonts w:cs="Times New Roman"/>
          <w:noProof/>
          <w:szCs w:val="24"/>
        </w:rPr>
        <w:t>, 4403–4410.</w:t>
      </w:r>
    </w:p>
    <w:p w14:paraId="11402F62"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[52]</w:t>
      </w:r>
      <w:r w:rsidRPr="00E92323">
        <w:rPr>
          <w:rFonts w:cs="Times New Roman"/>
          <w:noProof/>
          <w:szCs w:val="24"/>
        </w:rPr>
        <w:tab/>
        <w:t xml:space="preserve">A. Gaudel-Siri, D. Siri, P. Tordo, </w:t>
      </w:r>
      <w:r w:rsidRPr="00E92323">
        <w:rPr>
          <w:rFonts w:cs="Times New Roman"/>
          <w:i/>
          <w:iCs/>
          <w:noProof/>
          <w:szCs w:val="24"/>
        </w:rPr>
        <w:t>ChemPhysChem</w:t>
      </w:r>
      <w:r w:rsidRPr="00E92323">
        <w:rPr>
          <w:rFonts w:cs="Times New Roman"/>
          <w:noProof/>
          <w:szCs w:val="24"/>
        </w:rPr>
        <w:t xml:space="preserve"> </w:t>
      </w:r>
      <w:r w:rsidRPr="00E92323">
        <w:rPr>
          <w:rFonts w:cs="Times New Roman"/>
          <w:b/>
          <w:bCs/>
          <w:noProof/>
          <w:szCs w:val="24"/>
        </w:rPr>
        <w:t>2006</w:t>
      </w:r>
      <w:r w:rsidRPr="00E92323">
        <w:rPr>
          <w:rFonts w:cs="Times New Roman"/>
          <w:noProof/>
          <w:szCs w:val="24"/>
        </w:rPr>
        <w:t xml:space="preserve">, </w:t>
      </w:r>
      <w:r w:rsidRPr="00E92323">
        <w:rPr>
          <w:rFonts w:cs="Times New Roman"/>
          <w:i/>
          <w:iCs/>
          <w:noProof/>
          <w:szCs w:val="24"/>
        </w:rPr>
        <w:t>7</w:t>
      </w:r>
      <w:r w:rsidRPr="00E92323">
        <w:rPr>
          <w:rFonts w:cs="Times New Roman"/>
          <w:noProof/>
          <w:szCs w:val="24"/>
        </w:rPr>
        <w:t>, 430–438.</w:t>
      </w:r>
    </w:p>
    <w:p w14:paraId="66666F2F"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[53]</w:t>
      </w:r>
      <w:r w:rsidRPr="00E92323">
        <w:rPr>
          <w:rFonts w:cs="Times New Roman"/>
          <w:noProof/>
          <w:szCs w:val="24"/>
        </w:rPr>
        <w:tab/>
        <w:t xml:space="preserve">M. V. Ciriano, H. G. Korth, W. B. Van Scheppingen, P. Mulder, </w:t>
      </w:r>
      <w:r w:rsidRPr="00E92323">
        <w:rPr>
          <w:rFonts w:cs="Times New Roman"/>
          <w:i/>
          <w:iCs/>
          <w:noProof/>
          <w:szCs w:val="24"/>
        </w:rPr>
        <w:t>J. Am. Chem. Soc.</w:t>
      </w:r>
      <w:r w:rsidRPr="00E92323">
        <w:rPr>
          <w:rFonts w:cs="Times New Roman"/>
          <w:noProof/>
          <w:szCs w:val="24"/>
        </w:rPr>
        <w:t xml:space="preserve"> </w:t>
      </w:r>
      <w:r w:rsidRPr="00E92323">
        <w:rPr>
          <w:rFonts w:cs="Times New Roman"/>
          <w:b/>
          <w:bCs/>
          <w:noProof/>
          <w:szCs w:val="24"/>
        </w:rPr>
        <w:t>1999</w:t>
      </w:r>
      <w:r w:rsidRPr="00E92323">
        <w:rPr>
          <w:rFonts w:cs="Times New Roman"/>
          <w:noProof/>
          <w:szCs w:val="24"/>
        </w:rPr>
        <w:t xml:space="preserve">, </w:t>
      </w:r>
      <w:r w:rsidRPr="00E92323">
        <w:rPr>
          <w:rFonts w:cs="Times New Roman"/>
          <w:i/>
          <w:iCs/>
          <w:noProof/>
          <w:szCs w:val="24"/>
        </w:rPr>
        <w:t>121</w:t>
      </w:r>
      <w:r w:rsidRPr="00E92323">
        <w:rPr>
          <w:rFonts w:cs="Times New Roman"/>
          <w:noProof/>
          <w:szCs w:val="24"/>
        </w:rPr>
        <w:t>, 6375–6381.</w:t>
      </w:r>
    </w:p>
    <w:p w14:paraId="02C43AD7" w14:textId="5874585E"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[54]</w:t>
      </w:r>
      <w:r w:rsidRPr="00E92323">
        <w:rPr>
          <w:rFonts w:cs="Times New Roman"/>
          <w:noProof/>
          <w:szCs w:val="24"/>
        </w:rPr>
        <w:tab/>
        <w:t xml:space="preserve">P. Vasileva, B. Donkova, I. Karadjova, C. Dushkin, </w:t>
      </w:r>
      <w:r w:rsidRPr="00E92323">
        <w:rPr>
          <w:rFonts w:cs="Times New Roman"/>
          <w:i/>
          <w:iCs/>
          <w:noProof/>
          <w:szCs w:val="24"/>
        </w:rPr>
        <w:t>Colloid</w:t>
      </w:r>
      <w:r w:rsidR="000C5219">
        <w:rPr>
          <w:rFonts w:cs="Times New Roman"/>
          <w:i/>
          <w:iCs/>
          <w:noProof/>
          <w:szCs w:val="24"/>
        </w:rPr>
        <w:t>.</w:t>
      </w:r>
      <w:r w:rsidRPr="00E92323">
        <w:rPr>
          <w:rFonts w:cs="Times New Roman"/>
          <w:i/>
          <w:iCs/>
          <w:noProof/>
          <w:szCs w:val="24"/>
        </w:rPr>
        <w:t xml:space="preserve"> Surface</w:t>
      </w:r>
      <w:r w:rsidR="000C5219">
        <w:rPr>
          <w:rFonts w:cs="Times New Roman"/>
          <w:i/>
          <w:iCs/>
          <w:noProof/>
          <w:szCs w:val="24"/>
        </w:rPr>
        <w:t>.</w:t>
      </w:r>
      <w:r w:rsidRPr="00E92323">
        <w:rPr>
          <w:rFonts w:cs="Times New Roman"/>
          <w:i/>
          <w:iCs/>
          <w:noProof/>
          <w:szCs w:val="24"/>
        </w:rPr>
        <w:t xml:space="preserve"> A </w:t>
      </w:r>
      <w:r w:rsidRPr="00E92323">
        <w:rPr>
          <w:rFonts w:cs="Times New Roman"/>
          <w:b/>
          <w:bCs/>
          <w:noProof/>
          <w:szCs w:val="24"/>
        </w:rPr>
        <w:t>2011</w:t>
      </w:r>
      <w:r w:rsidRPr="00E92323">
        <w:rPr>
          <w:rFonts w:cs="Times New Roman"/>
          <w:noProof/>
          <w:szCs w:val="24"/>
        </w:rPr>
        <w:t xml:space="preserve">, </w:t>
      </w:r>
      <w:r w:rsidRPr="00E92323">
        <w:rPr>
          <w:rFonts w:cs="Times New Roman"/>
          <w:i/>
          <w:iCs/>
          <w:noProof/>
          <w:szCs w:val="24"/>
        </w:rPr>
        <w:t>382</w:t>
      </w:r>
      <w:r w:rsidRPr="00E92323">
        <w:rPr>
          <w:rFonts w:cs="Times New Roman"/>
          <w:noProof/>
          <w:szCs w:val="24"/>
        </w:rPr>
        <w:t>, 203–210.</w:t>
      </w:r>
    </w:p>
    <w:p w14:paraId="3D11F8A3"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[55]</w:t>
      </w:r>
      <w:r w:rsidRPr="00E92323">
        <w:rPr>
          <w:rFonts w:cs="Times New Roman"/>
          <w:noProof/>
          <w:szCs w:val="24"/>
        </w:rPr>
        <w:tab/>
        <w:t xml:space="preserve">J. Rumble, Ed. , </w:t>
      </w:r>
      <w:r w:rsidRPr="00E92323">
        <w:rPr>
          <w:rFonts w:cs="Times New Roman"/>
          <w:i/>
          <w:iCs/>
          <w:noProof/>
          <w:szCs w:val="24"/>
        </w:rPr>
        <w:t>CRC Handbook of Chemistry and Physics</w:t>
      </w:r>
      <w:r w:rsidRPr="00E92323">
        <w:rPr>
          <w:rFonts w:cs="Times New Roman"/>
          <w:noProof/>
          <w:szCs w:val="24"/>
        </w:rPr>
        <w:t xml:space="preserve">, CRC Press, Taylor &amp; Francis, </w:t>
      </w:r>
      <w:r w:rsidRPr="00E92323">
        <w:rPr>
          <w:rFonts w:cs="Times New Roman"/>
          <w:noProof/>
          <w:szCs w:val="24"/>
        </w:rPr>
        <w:lastRenderedPageBreak/>
        <w:t xml:space="preserve">Boca Raton, FL, </w:t>
      </w:r>
      <w:r w:rsidRPr="00E92323">
        <w:rPr>
          <w:rFonts w:cs="Times New Roman"/>
          <w:b/>
          <w:bCs/>
          <w:noProof/>
          <w:szCs w:val="24"/>
        </w:rPr>
        <w:t>2020</w:t>
      </w:r>
      <w:r w:rsidRPr="00E92323">
        <w:rPr>
          <w:rFonts w:cs="Times New Roman"/>
          <w:noProof/>
          <w:szCs w:val="24"/>
        </w:rPr>
        <w:t>.</w:t>
      </w:r>
    </w:p>
    <w:p w14:paraId="757C5756"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szCs w:val="24"/>
        </w:rPr>
      </w:pPr>
      <w:r w:rsidRPr="00E92323">
        <w:rPr>
          <w:rFonts w:cs="Times New Roman"/>
          <w:noProof/>
          <w:szCs w:val="24"/>
        </w:rPr>
        <w:t>[56]</w:t>
      </w:r>
      <w:r w:rsidRPr="00E92323">
        <w:rPr>
          <w:rFonts w:cs="Times New Roman"/>
          <w:noProof/>
          <w:szCs w:val="24"/>
        </w:rPr>
        <w:tab/>
        <w:t xml:space="preserve">P. S. Billone, P. A. Johnson, S. Lin, J. C. Scaiano, G. A. Dilabio, K. U. Ingold, </w:t>
      </w:r>
      <w:r w:rsidRPr="00E92323">
        <w:rPr>
          <w:rFonts w:cs="Times New Roman"/>
          <w:i/>
          <w:iCs/>
          <w:noProof/>
          <w:szCs w:val="24"/>
        </w:rPr>
        <w:t>J. Org. Chem.</w:t>
      </w:r>
      <w:r w:rsidRPr="00E92323">
        <w:rPr>
          <w:rFonts w:cs="Times New Roman"/>
          <w:noProof/>
          <w:szCs w:val="24"/>
        </w:rPr>
        <w:t xml:space="preserve"> </w:t>
      </w:r>
      <w:r w:rsidRPr="00E92323">
        <w:rPr>
          <w:rFonts w:cs="Times New Roman"/>
          <w:b/>
          <w:bCs/>
          <w:noProof/>
          <w:szCs w:val="24"/>
        </w:rPr>
        <w:t>2011</w:t>
      </w:r>
      <w:r w:rsidRPr="00E92323">
        <w:rPr>
          <w:rFonts w:cs="Times New Roman"/>
          <w:noProof/>
          <w:szCs w:val="24"/>
        </w:rPr>
        <w:t xml:space="preserve">, </w:t>
      </w:r>
      <w:r w:rsidRPr="00E92323">
        <w:rPr>
          <w:rFonts w:cs="Times New Roman"/>
          <w:i/>
          <w:iCs/>
          <w:noProof/>
          <w:szCs w:val="24"/>
        </w:rPr>
        <w:t>76</w:t>
      </w:r>
      <w:r w:rsidRPr="00E92323">
        <w:rPr>
          <w:rFonts w:cs="Times New Roman"/>
          <w:noProof/>
          <w:szCs w:val="24"/>
        </w:rPr>
        <w:t>, 631–636.</w:t>
      </w:r>
    </w:p>
    <w:p w14:paraId="3E2F7215" w14:textId="77777777" w:rsidR="00E92323" w:rsidRPr="00E92323" w:rsidRDefault="00E92323" w:rsidP="00E92323">
      <w:pPr>
        <w:widowControl w:val="0"/>
        <w:autoSpaceDE w:val="0"/>
        <w:autoSpaceDN w:val="0"/>
        <w:adjustRightInd w:val="0"/>
        <w:spacing w:before="280" w:after="280" w:line="360" w:lineRule="auto"/>
        <w:ind w:left="640" w:hanging="640"/>
        <w:rPr>
          <w:rFonts w:cs="Times New Roman"/>
          <w:noProof/>
        </w:rPr>
      </w:pPr>
      <w:r w:rsidRPr="00E92323">
        <w:rPr>
          <w:rFonts w:cs="Times New Roman"/>
          <w:noProof/>
          <w:szCs w:val="24"/>
        </w:rPr>
        <w:t>[57]</w:t>
      </w:r>
      <w:r w:rsidRPr="00E92323">
        <w:rPr>
          <w:rFonts w:cs="Times New Roman"/>
          <w:noProof/>
          <w:szCs w:val="24"/>
        </w:rPr>
        <w:tab/>
        <w:t xml:space="preserve">S. Coiai, E. Passaglia, F. Cicogna, </w:t>
      </w:r>
      <w:r w:rsidRPr="00E92323">
        <w:rPr>
          <w:rFonts w:cs="Times New Roman"/>
          <w:i/>
          <w:iCs/>
          <w:noProof/>
          <w:szCs w:val="24"/>
        </w:rPr>
        <w:t>Polym. Int.</w:t>
      </w:r>
      <w:r w:rsidRPr="00E92323">
        <w:rPr>
          <w:rFonts w:cs="Times New Roman"/>
          <w:noProof/>
          <w:szCs w:val="24"/>
        </w:rPr>
        <w:t xml:space="preserve"> </w:t>
      </w:r>
      <w:r w:rsidRPr="00E92323">
        <w:rPr>
          <w:rFonts w:cs="Times New Roman"/>
          <w:b/>
          <w:bCs/>
          <w:noProof/>
          <w:szCs w:val="24"/>
        </w:rPr>
        <w:t>2019</w:t>
      </w:r>
      <w:r w:rsidRPr="00E92323">
        <w:rPr>
          <w:rFonts w:cs="Times New Roman"/>
          <w:noProof/>
          <w:szCs w:val="24"/>
        </w:rPr>
        <w:t xml:space="preserve">, </w:t>
      </w:r>
      <w:r w:rsidRPr="00E92323">
        <w:rPr>
          <w:rFonts w:cs="Times New Roman"/>
          <w:i/>
          <w:iCs/>
          <w:noProof/>
          <w:szCs w:val="24"/>
        </w:rPr>
        <w:t>68</w:t>
      </w:r>
      <w:r w:rsidRPr="00E92323">
        <w:rPr>
          <w:rFonts w:cs="Times New Roman"/>
          <w:noProof/>
          <w:szCs w:val="24"/>
        </w:rPr>
        <w:t>, 27–63.</w:t>
      </w:r>
    </w:p>
    <w:p w14:paraId="75D8A8CD" w14:textId="195ABBC8" w:rsidR="003A5118" w:rsidRDefault="005465A8" w:rsidP="008C64F6">
      <w:pPr>
        <w:spacing w:beforeLines="120" w:before="288" w:afterLines="120" w:after="288" w:line="360" w:lineRule="auto"/>
        <w:ind w:left="709" w:hanging="709"/>
        <w:rPr>
          <w:rFonts w:cs="Times New Roman"/>
          <w:szCs w:val="24"/>
          <w:lang w:val="en-GB"/>
        </w:rPr>
      </w:pPr>
      <w:r w:rsidRPr="00BA5773">
        <w:rPr>
          <w:rFonts w:cs="Times New Roman"/>
          <w:b/>
          <w:bCs/>
          <w:sz w:val="28"/>
          <w:szCs w:val="28"/>
          <w:lang w:val="en-GB"/>
        </w:rPr>
        <w:fldChar w:fldCharType="end"/>
      </w:r>
      <w:r w:rsidRPr="00BA5773">
        <w:rPr>
          <w:rFonts w:cs="Times New Roman"/>
          <w:szCs w:val="24"/>
          <w:lang w:val="en-GB"/>
        </w:rPr>
        <w:t>[58]</w:t>
      </w:r>
      <w:r w:rsidR="00542B26" w:rsidRPr="00BA5773">
        <w:rPr>
          <w:rFonts w:cs="Times New Roman"/>
          <w:szCs w:val="24"/>
          <w:lang w:val="en-GB"/>
        </w:rPr>
        <w:t xml:space="preserve"> </w:t>
      </w:r>
      <w:r w:rsidR="008C64F6" w:rsidRPr="00BA5773">
        <w:rPr>
          <w:rFonts w:cs="Times New Roman"/>
          <w:szCs w:val="24"/>
          <w:lang w:val="en-GB"/>
        </w:rPr>
        <w:t xml:space="preserve">    </w:t>
      </w:r>
      <w:r w:rsidR="00542B26" w:rsidRPr="00BA5773">
        <w:rPr>
          <w:rFonts w:cs="Times New Roman"/>
          <w:szCs w:val="24"/>
          <w:lang w:val="en-GB"/>
        </w:rPr>
        <w:t xml:space="preserve">The temperature range is determined using manufacturer information for bulk </w:t>
      </w:r>
      <w:r w:rsidR="006866F1" w:rsidRPr="00BA5773">
        <w:rPr>
          <w:rFonts w:cs="Times New Roman"/>
          <w:szCs w:val="24"/>
          <w:lang w:val="en-GB"/>
        </w:rPr>
        <w:t>PMMA</w:t>
      </w:r>
      <w:r w:rsidR="00542B26" w:rsidRPr="00BA5773">
        <w:rPr>
          <w:rFonts w:cs="Times New Roman"/>
          <w:szCs w:val="24"/>
          <w:lang w:val="en-GB"/>
        </w:rPr>
        <w:t xml:space="preserve"> and the value for T</w:t>
      </w:r>
      <w:r w:rsidR="00542B26" w:rsidRPr="00BA5773">
        <w:rPr>
          <w:rFonts w:cs="Times New Roman"/>
          <w:szCs w:val="24"/>
          <w:vertAlign w:val="subscript"/>
          <w:lang w:val="en-GB"/>
        </w:rPr>
        <w:t>g</w:t>
      </w:r>
      <w:r w:rsidR="00542B26" w:rsidRPr="00BA5773">
        <w:rPr>
          <w:rFonts w:cs="Times New Roman"/>
          <w:szCs w:val="24"/>
          <w:lang w:val="en-GB"/>
        </w:rPr>
        <w:t xml:space="preserve"> of PMMA in films measured previously with differential scanning calorimetry (Ref </w:t>
      </w:r>
      <w:r w:rsidR="00B83086" w:rsidRPr="00BA5773">
        <w:rPr>
          <w:rFonts w:cs="Times New Roman"/>
          <w:szCs w:val="24"/>
          <w:lang w:val="en-GB"/>
        </w:rPr>
        <w:t>29</w:t>
      </w:r>
      <w:r w:rsidR="00542B26" w:rsidRPr="00BA5773">
        <w:rPr>
          <w:rFonts w:cs="Times New Roman"/>
          <w:szCs w:val="24"/>
          <w:lang w:val="en-GB"/>
        </w:rPr>
        <w:t>).</w:t>
      </w:r>
      <w:r w:rsidR="003A5118">
        <w:rPr>
          <w:rFonts w:cs="Times New Roman"/>
          <w:szCs w:val="24"/>
          <w:lang w:val="en-GB"/>
        </w:rPr>
        <w:br w:type="page"/>
      </w:r>
    </w:p>
    <w:p w14:paraId="1D7D38DD" w14:textId="40E961D3" w:rsidR="00BE1848" w:rsidRPr="00BA5773" w:rsidRDefault="00A60D2A" w:rsidP="00695CAF">
      <w:pPr>
        <w:spacing w:beforeLines="120" w:before="288" w:afterLines="120" w:after="288" w:line="360" w:lineRule="auto"/>
        <w:rPr>
          <w:rFonts w:cs="Times New Roman"/>
          <w:b/>
          <w:bCs/>
          <w:sz w:val="28"/>
          <w:szCs w:val="28"/>
          <w:lang w:val="en-GB"/>
        </w:rPr>
      </w:pPr>
      <w:r w:rsidRPr="00BA5773">
        <w:rPr>
          <w:rFonts w:cs="Times New Roman"/>
          <w:b/>
          <w:bCs/>
          <w:sz w:val="28"/>
          <w:szCs w:val="28"/>
          <w:lang w:val="en-GB"/>
        </w:rPr>
        <w:lastRenderedPageBreak/>
        <w:t>Entry for the Table of Contents</w:t>
      </w:r>
    </w:p>
    <w:p w14:paraId="4EB514C4" w14:textId="33598C6E" w:rsidR="008A5B2F" w:rsidRPr="00BA5773" w:rsidRDefault="008B7A74" w:rsidP="008A5B2F">
      <w:pPr>
        <w:spacing w:beforeLines="120" w:before="288" w:afterLines="120" w:after="288" w:line="360" w:lineRule="auto"/>
        <w:jc w:val="center"/>
        <w:rPr>
          <w:rFonts w:cs="Times New Roman"/>
          <w:b/>
          <w:bCs/>
          <w:sz w:val="28"/>
          <w:szCs w:val="28"/>
          <w:lang w:val="en-GB"/>
        </w:rPr>
      </w:pPr>
      <w:r>
        <w:rPr>
          <w:rFonts w:cs="Times New Roman"/>
          <w:b/>
          <w:bCs/>
          <w:noProof/>
          <w:sz w:val="28"/>
          <w:szCs w:val="28"/>
        </w:rPr>
        <w:drawing>
          <wp:inline distT="0" distB="0" distL="0" distR="0" wp14:anchorId="1CE3D100" wp14:editId="65DF3744">
            <wp:extent cx="4140000" cy="8853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84" t="4091" r="1326" b="5371"/>
                    <a:stretch/>
                  </pic:blipFill>
                  <pic:spPr bwMode="auto">
                    <a:xfrm>
                      <a:off x="0" y="0"/>
                      <a:ext cx="4140000" cy="885368"/>
                    </a:xfrm>
                    <a:prstGeom prst="rect">
                      <a:avLst/>
                    </a:prstGeom>
                    <a:noFill/>
                    <a:ln>
                      <a:noFill/>
                    </a:ln>
                    <a:extLst>
                      <a:ext uri="{53640926-AAD7-44D8-BBD7-CCE9431645EC}">
                        <a14:shadowObscured xmlns:a14="http://schemas.microsoft.com/office/drawing/2010/main"/>
                      </a:ext>
                    </a:extLst>
                  </pic:spPr>
                </pic:pic>
              </a:graphicData>
            </a:graphic>
          </wp:inline>
        </w:drawing>
      </w:r>
    </w:p>
    <w:p w14:paraId="7C0796E3" w14:textId="73DCEF89" w:rsidR="007D2FA3" w:rsidRPr="00A115B3" w:rsidRDefault="005E58A6" w:rsidP="00583E2A">
      <w:pPr>
        <w:tabs>
          <w:tab w:val="left" w:pos="3876"/>
        </w:tabs>
        <w:spacing w:beforeLines="120" w:before="288" w:afterLines="120" w:after="288" w:line="360" w:lineRule="auto"/>
        <w:jc w:val="both"/>
        <w:rPr>
          <w:rFonts w:cs="Times New Roman"/>
          <w:szCs w:val="24"/>
          <w:lang w:val="en-GB"/>
        </w:rPr>
      </w:pPr>
      <w:r w:rsidRPr="00BA5773">
        <w:rPr>
          <w:rFonts w:cs="Times New Roman"/>
          <w:szCs w:val="24"/>
          <w:lang w:val="en-GB"/>
        </w:rPr>
        <w:t xml:space="preserve">Under </w:t>
      </w:r>
      <w:r w:rsidR="00A115B3">
        <w:rPr>
          <w:rFonts w:cs="Times New Roman"/>
          <w:szCs w:val="24"/>
          <w:lang w:val="en-GB"/>
        </w:rPr>
        <w:t xml:space="preserve">mild </w:t>
      </w:r>
      <w:r w:rsidRPr="00BA5773">
        <w:rPr>
          <w:rFonts w:cs="Times New Roman"/>
          <w:szCs w:val="24"/>
          <w:lang w:val="en-GB"/>
        </w:rPr>
        <w:t xml:space="preserve">ultraviolet illumination, a </w:t>
      </w:r>
      <w:r w:rsidR="0067123F" w:rsidRPr="00BA5773">
        <w:rPr>
          <w:rFonts w:cs="Times New Roman"/>
          <w:szCs w:val="24"/>
          <w:lang w:val="en-GB"/>
        </w:rPr>
        <w:t xml:space="preserve">quinoline dye acts as </w:t>
      </w:r>
      <w:r w:rsidR="00583E2A">
        <w:rPr>
          <w:rFonts w:cs="Times New Roman"/>
          <w:szCs w:val="24"/>
          <w:lang w:val="en-GB"/>
        </w:rPr>
        <w:t xml:space="preserve">a </w:t>
      </w:r>
      <w:r w:rsidR="0067123F" w:rsidRPr="00BA5773">
        <w:rPr>
          <w:rFonts w:cs="Times New Roman"/>
          <w:szCs w:val="24"/>
          <w:lang w:val="en-GB"/>
        </w:rPr>
        <w:t>molecular ‘antenna’ to promote the reactivity of chemically coupled TEMPO toward H</w:t>
      </w:r>
      <w:r w:rsidR="0057673D">
        <w:rPr>
          <w:rFonts w:cs="Times New Roman"/>
          <w:szCs w:val="24"/>
          <w:lang w:val="en-GB"/>
        </w:rPr>
        <w:t xml:space="preserve"> </w:t>
      </w:r>
      <w:r w:rsidR="0067123F" w:rsidRPr="00BA5773">
        <w:rPr>
          <w:rFonts w:cs="Times New Roman"/>
          <w:szCs w:val="24"/>
          <w:lang w:val="en-GB"/>
        </w:rPr>
        <w:t>abstraction</w:t>
      </w:r>
      <w:r w:rsidR="00A115B3">
        <w:rPr>
          <w:rFonts w:cs="Times New Roman"/>
          <w:szCs w:val="24"/>
          <w:lang w:val="en-GB"/>
        </w:rPr>
        <w:t xml:space="preserve"> t</w:t>
      </w:r>
      <w:r w:rsidR="00A115B3" w:rsidRPr="00A115B3">
        <w:rPr>
          <w:rFonts w:cs="Times New Roman"/>
          <w:szCs w:val="24"/>
          <w:lang w:val="en-GB"/>
        </w:rPr>
        <w:t xml:space="preserve">o form the corresponding </w:t>
      </w:r>
      <w:r w:rsidR="00A115B3" w:rsidRPr="00A115B3">
        <w:rPr>
          <w:rFonts w:cs="Times New Roman"/>
          <w:i/>
          <w:iCs/>
          <w:szCs w:val="24"/>
          <w:lang w:val="en-GB"/>
        </w:rPr>
        <w:t>N</w:t>
      </w:r>
      <w:r w:rsidR="00A115B3" w:rsidRPr="00A115B3">
        <w:rPr>
          <w:rFonts w:cs="Times New Roman"/>
          <w:szCs w:val="24"/>
          <w:lang w:val="en-GB"/>
        </w:rPr>
        <w:t xml:space="preserve">-hydroxylamine. </w:t>
      </w:r>
      <w:r w:rsidR="00A115B3">
        <w:rPr>
          <w:rFonts w:cs="Times New Roman"/>
          <w:szCs w:val="24"/>
          <w:lang w:val="en-GB"/>
        </w:rPr>
        <w:t>T</w:t>
      </w:r>
      <w:r w:rsidR="00A115B3" w:rsidRPr="00A115B3">
        <w:rPr>
          <w:rFonts w:cs="Times New Roman"/>
          <w:szCs w:val="24"/>
          <w:lang w:val="en-GB"/>
        </w:rPr>
        <w:t xml:space="preserve">he hydrogen </w:t>
      </w:r>
      <w:r w:rsidR="00A115B3">
        <w:rPr>
          <w:rFonts w:cs="Times New Roman"/>
          <w:szCs w:val="24"/>
          <w:lang w:val="en-GB"/>
        </w:rPr>
        <w:t>can also be</w:t>
      </w:r>
      <w:r w:rsidR="00A115B3" w:rsidRPr="00A115B3">
        <w:rPr>
          <w:rFonts w:cs="Times New Roman"/>
          <w:szCs w:val="24"/>
          <w:lang w:val="en-GB"/>
        </w:rPr>
        <w:t xml:space="preserve"> abstracted from </w:t>
      </w:r>
      <w:r w:rsidR="00A115B3">
        <w:rPr>
          <w:rFonts w:cs="Times New Roman"/>
          <w:szCs w:val="24"/>
          <w:lang w:val="en-GB"/>
        </w:rPr>
        <w:t>a</w:t>
      </w:r>
      <w:r w:rsidR="00A115B3" w:rsidRPr="00A115B3">
        <w:rPr>
          <w:rFonts w:cs="Times New Roman"/>
          <w:szCs w:val="24"/>
          <w:lang w:val="en-GB"/>
        </w:rPr>
        <w:t xml:space="preserve"> polymer matrix</w:t>
      </w:r>
      <w:r w:rsidR="00A115B3">
        <w:rPr>
          <w:rFonts w:cs="Times New Roman"/>
          <w:szCs w:val="24"/>
          <w:lang w:val="en-GB"/>
        </w:rPr>
        <w:t xml:space="preserve"> </w:t>
      </w:r>
      <w:r w:rsidR="00583E2A">
        <w:rPr>
          <w:rFonts w:cs="Times New Roman"/>
          <w:szCs w:val="24"/>
          <w:lang w:val="en-GB"/>
        </w:rPr>
        <w:t>(</w:t>
      </w:r>
      <w:r w:rsidR="00583E2A" w:rsidRPr="00583E2A">
        <w:rPr>
          <w:rFonts w:cs="Times New Roman"/>
          <w:b/>
          <w:bCs/>
          <w:szCs w:val="24"/>
          <w:lang w:val="en-GB"/>
        </w:rPr>
        <w:t>R</w:t>
      </w:r>
      <w:r w:rsidR="00583E2A">
        <w:rPr>
          <w:rFonts w:cs="Times New Roman"/>
          <w:szCs w:val="24"/>
          <w:lang w:val="en-GB"/>
        </w:rPr>
        <w:t>)</w:t>
      </w:r>
      <w:r w:rsidR="00A115B3" w:rsidRPr="00A115B3">
        <w:rPr>
          <w:rFonts w:cs="Times New Roman"/>
          <w:szCs w:val="24"/>
          <w:lang w:val="en-GB"/>
        </w:rPr>
        <w:t xml:space="preserve">, and subsequent linkage of the dye-nitroxide to the polymer skeleton </w:t>
      </w:r>
      <w:r w:rsidR="00414D09">
        <w:rPr>
          <w:rFonts w:cs="Times New Roman"/>
          <w:szCs w:val="24"/>
          <w:lang w:val="en-GB"/>
        </w:rPr>
        <w:t xml:space="preserve">can </w:t>
      </w:r>
      <w:r w:rsidR="00A115B3" w:rsidRPr="00A115B3">
        <w:rPr>
          <w:rFonts w:cs="Times New Roman"/>
          <w:szCs w:val="24"/>
          <w:lang w:val="en-GB"/>
        </w:rPr>
        <w:t>o</w:t>
      </w:r>
      <w:r w:rsidR="00414D09">
        <w:rPr>
          <w:rFonts w:cs="Times New Roman"/>
          <w:szCs w:val="24"/>
          <w:lang w:val="en-GB"/>
        </w:rPr>
        <w:t>ccur</w:t>
      </w:r>
      <w:r w:rsidR="00583E2A" w:rsidRPr="00A115B3">
        <w:rPr>
          <w:rFonts w:cs="Times New Roman"/>
          <w:szCs w:val="24"/>
          <w:lang w:val="en-GB"/>
        </w:rPr>
        <w:t>.</w:t>
      </w:r>
      <w:r w:rsidR="00A115B3" w:rsidRPr="00A115B3">
        <w:rPr>
          <w:rFonts w:cs="Times New Roman"/>
          <w:szCs w:val="24"/>
          <w:lang w:val="en-GB"/>
        </w:rPr>
        <w:t xml:space="preserve"> In all cases, </w:t>
      </w:r>
      <w:r w:rsidR="00372303">
        <w:rPr>
          <w:rFonts w:cs="Times New Roman"/>
          <w:szCs w:val="24"/>
          <w:lang w:val="en-GB"/>
        </w:rPr>
        <w:t xml:space="preserve">the </w:t>
      </w:r>
      <w:r w:rsidR="00A115B3" w:rsidRPr="00A115B3">
        <w:rPr>
          <w:rFonts w:cs="Times New Roman"/>
          <w:szCs w:val="24"/>
          <w:lang w:val="en-GB"/>
        </w:rPr>
        <w:t>intramolecular quenching pathway</w:t>
      </w:r>
      <w:r w:rsidR="00583E2A">
        <w:rPr>
          <w:rFonts w:cs="Times New Roman"/>
          <w:szCs w:val="24"/>
          <w:lang w:val="en-GB"/>
        </w:rPr>
        <w:t xml:space="preserve"> is suppressed and </w:t>
      </w:r>
      <w:r w:rsidR="00A115B3" w:rsidRPr="00A115B3">
        <w:rPr>
          <w:rFonts w:cs="Times New Roman"/>
          <w:szCs w:val="24"/>
          <w:lang w:val="en-GB"/>
        </w:rPr>
        <w:t>the fluorescence of the quinoline dye</w:t>
      </w:r>
      <w:r w:rsidR="002D7367">
        <w:rPr>
          <w:rFonts w:cs="Times New Roman"/>
          <w:szCs w:val="24"/>
          <w:lang w:val="en-GB"/>
        </w:rPr>
        <w:t xml:space="preserve"> is restored.</w:t>
      </w:r>
    </w:p>
    <w:p w14:paraId="09AE3AEA" w14:textId="5DABE1DE" w:rsidR="00206679" w:rsidRPr="0088513A" w:rsidRDefault="00206679" w:rsidP="00695CAF">
      <w:pPr>
        <w:spacing w:afterLines="120" w:after="288"/>
        <w:jc w:val="center"/>
        <w:rPr>
          <w:rFonts w:cs="Times New Roman"/>
          <w:szCs w:val="24"/>
        </w:rPr>
      </w:pPr>
    </w:p>
    <w:sectPr w:rsidR="00206679" w:rsidRPr="0088513A" w:rsidSect="00E172DF">
      <w:headerReference w:type="even" r:id="rId17"/>
      <w:headerReference w:type="default" r:id="rId18"/>
      <w:footerReference w:type="even" r:id="rId19"/>
      <w:footerReference w:type="default" r:id="rId20"/>
      <w:pgSz w:w="12240" w:h="15840" w:code="1"/>
      <w:pgMar w:top="1440" w:right="1440" w:bottom="1440" w:left="1440" w:header="284" w:footer="510" w:gutter="0"/>
      <w:lnNumType w:countBy="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587F0" w14:textId="77777777" w:rsidR="006C299A" w:rsidRDefault="006C299A" w:rsidP="00117666">
      <w:pPr>
        <w:spacing w:after="0"/>
      </w:pPr>
      <w:r>
        <w:separator/>
      </w:r>
    </w:p>
  </w:endnote>
  <w:endnote w:type="continuationSeparator" w:id="0">
    <w:p w14:paraId="1CDE16F3" w14:textId="77777777" w:rsidR="006C299A" w:rsidRDefault="006C299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0A104AB7" w:rsidR="00842D08" w:rsidRPr="00577C4C" w:rsidRDefault="00842D08">
    <w:pPr>
      <w:pStyle w:val="Footer"/>
      <w:rPr>
        <w:color w:val="C00000"/>
        <w:szCs w:val="24"/>
      </w:rPr>
    </w:pPr>
    <w:r>
      <w:rPr>
        <w:noProof/>
      </w:rPr>
      <mc:AlternateContent>
        <mc:Choice Requires="wps">
          <w:drawing>
            <wp:anchor distT="0" distB="0" distL="114300" distR="114300" simplePos="0" relativeHeight="251665408" behindDoc="0" locked="0" layoutInCell="1" allowOverlap="1" wp14:anchorId="51D4B8BD" wp14:editId="2E0F086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842D08" w:rsidRPr="00577C4C" w:rsidRDefault="00842D0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F7A37">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14951C5" w14:textId="77777777" w:rsidR="00842D08" w:rsidRPr="00577C4C" w:rsidRDefault="00842D0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F7A37">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77777777" w:rsidR="00842D08" w:rsidRPr="00577C4C" w:rsidRDefault="00842D08">
    <w:pPr>
      <w:pStyle w:val="Footer"/>
      <w:rPr>
        <w:b/>
        <w:sz w:val="20"/>
        <w:szCs w:val="24"/>
      </w:rPr>
    </w:pPr>
    <w:r>
      <w:rPr>
        <w:noProof/>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842D08" w:rsidRPr="00577C4C" w:rsidRDefault="00842D0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F7A37">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74D070C5" w14:textId="77777777" w:rsidR="00842D08" w:rsidRPr="00577C4C" w:rsidRDefault="00842D08">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9F7A37">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86BA4" w14:textId="77777777" w:rsidR="006C299A" w:rsidRDefault="006C299A" w:rsidP="00117666">
      <w:pPr>
        <w:spacing w:after="0"/>
      </w:pPr>
      <w:r>
        <w:separator/>
      </w:r>
    </w:p>
  </w:footnote>
  <w:footnote w:type="continuationSeparator" w:id="0">
    <w:p w14:paraId="1ED166F8" w14:textId="77777777" w:rsidR="006C299A" w:rsidRDefault="006C299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3A34" w14:textId="0C9A0669" w:rsidR="00842D08" w:rsidRPr="00033B01" w:rsidRDefault="00842D08" w:rsidP="00033B01">
    <w:pPr>
      <w:pStyle w:val="Header"/>
      <w:jc w:val="right"/>
      <w:rPr>
        <w:sz w:val="18"/>
        <w:szCs w:val="16"/>
      </w:rPr>
    </w:pPr>
    <w:r w:rsidRPr="007E3148">
      <w:ptab w:relativeTo="margin" w:alignment="center" w:leader="none"/>
    </w:r>
    <w:r>
      <w:t xml:space="preserve">                </w:t>
    </w:r>
    <w:r w:rsidRPr="0013125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A4BC" w14:textId="65605F46" w:rsidR="00842D08" w:rsidRPr="00A53000" w:rsidRDefault="00842D08" w:rsidP="00A53000">
    <w:pPr>
      <w:pStyle w:val="Header"/>
    </w:pPr>
    <w:r w:rsidRPr="007E3148">
      <w:ptab w:relativeTo="margin" w:alignment="center" w:leader="none"/>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C6F29"/>
    <w:multiLevelType w:val="multilevel"/>
    <w:tmpl w:val="C6A8CCEA"/>
    <w:numStyleLink w:val="Headings"/>
  </w:abstractNum>
  <w:abstractNum w:abstractNumId="1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821"/>
    <w:rsid w:val="00002F0C"/>
    <w:rsid w:val="0000513F"/>
    <w:rsid w:val="00005301"/>
    <w:rsid w:val="00005CD6"/>
    <w:rsid w:val="00006267"/>
    <w:rsid w:val="000106F1"/>
    <w:rsid w:val="00011574"/>
    <w:rsid w:val="000139FE"/>
    <w:rsid w:val="000140AB"/>
    <w:rsid w:val="00015178"/>
    <w:rsid w:val="00016F2C"/>
    <w:rsid w:val="00017C8C"/>
    <w:rsid w:val="00020D37"/>
    <w:rsid w:val="00021050"/>
    <w:rsid w:val="000244DC"/>
    <w:rsid w:val="000255EC"/>
    <w:rsid w:val="00025F98"/>
    <w:rsid w:val="00025FA5"/>
    <w:rsid w:val="00027A44"/>
    <w:rsid w:val="00027EB5"/>
    <w:rsid w:val="00031210"/>
    <w:rsid w:val="00033B01"/>
    <w:rsid w:val="00034304"/>
    <w:rsid w:val="00035434"/>
    <w:rsid w:val="00035981"/>
    <w:rsid w:val="00036364"/>
    <w:rsid w:val="0003708C"/>
    <w:rsid w:val="000401E7"/>
    <w:rsid w:val="00040DF4"/>
    <w:rsid w:val="0004149A"/>
    <w:rsid w:val="00041623"/>
    <w:rsid w:val="000422A5"/>
    <w:rsid w:val="0004285A"/>
    <w:rsid w:val="00043746"/>
    <w:rsid w:val="0004408F"/>
    <w:rsid w:val="00044F94"/>
    <w:rsid w:val="00045678"/>
    <w:rsid w:val="000458E4"/>
    <w:rsid w:val="00045D38"/>
    <w:rsid w:val="00045FED"/>
    <w:rsid w:val="00046199"/>
    <w:rsid w:val="00050619"/>
    <w:rsid w:val="000520C0"/>
    <w:rsid w:val="0005281B"/>
    <w:rsid w:val="00052D88"/>
    <w:rsid w:val="0005308B"/>
    <w:rsid w:val="00053789"/>
    <w:rsid w:val="0005454B"/>
    <w:rsid w:val="00057AC5"/>
    <w:rsid w:val="00057ECD"/>
    <w:rsid w:val="00060686"/>
    <w:rsid w:val="00060A21"/>
    <w:rsid w:val="00061AF8"/>
    <w:rsid w:val="000629C2"/>
    <w:rsid w:val="00063D84"/>
    <w:rsid w:val="000640B7"/>
    <w:rsid w:val="000642D7"/>
    <w:rsid w:val="00065104"/>
    <w:rsid w:val="0006636D"/>
    <w:rsid w:val="0006698A"/>
    <w:rsid w:val="00066F7C"/>
    <w:rsid w:val="00070093"/>
    <w:rsid w:val="0007025B"/>
    <w:rsid w:val="00070C8B"/>
    <w:rsid w:val="00072A36"/>
    <w:rsid w:val="00073A14"/>
    <w:rsid w:val="00074B74"/>
    <w:rsid w:val="00077D53"/>
    <w:rsid w:val="00081381"/>
    <w:rsid w:val="00081394"/>
    <w:rsid w:val="0008411C"/>
    <w:rsid w:val="00085FA6"/>
    <w:rsid w:val="000900C2"/>
    <w:rsid w:val="00090971"/>
    <w:rsid w:val="00095CE4"/>
    <w:rsid w:val="000961A2"/>
    <w:rsid w:val="00096537"/>
    <w:rsid w:val="00097B3B"/>
    <w:rsid w:val="000A0289"/>
    <w:rsid w:val="000A3768"/>
    <w:rsid w:val="000A3C04"/>
    <w:rsid w:val="000A3D5F"/>
    <w:rsid w:val="000A45C1"/>
    <w:rsid w:val="000A6D57"/>
    <w:rsid w:val="000A7BC9"/>
    <w:rsid w:val="000A7C92"/>
    <w:rsid w:val="000B0644"/>
    <w:rsid w:val="000B0B0B"/>
    <w:rsid w:val="000B0D13"/>
    <w:rsid w:val="000B1190"/>
    <w:rsid w:val="000B1D82"/>
    <w:rsid w:val="000B34BD"/>
    <w:rsid w:val="000B4041"/>
    <w:rsid w:val="000B436D"/>
    <w:rsid w:val="000B4A75"/>
    <w:rsid w:val="000B5D41"/>
    <w:rsid w:val="000B5FFA"/>
    <w:rsid w:val="000B6F17"/>
    <w:rsid w:val="000B767A"/>
    <w:rsid w:val="000B78D4"/>
    <w:rsid w:val="000C0C55"/>
    <w:rsid w:val="000C5156"/>
    <w:rsid w:val="000C5219"/>
    <w:rsid w:val="000C64A8"/>
    <w:rsid w:val="000C7E2A"/>
    <w:rsid w:val="000D0071"/>
    <w:rsid w:val="000D173A"/>
    <w:rsid w:val="000D2BF7"/>
    <w:rsid w:val="000D3DCD"/>
    <w:rsid w:val="000D6E27"/>
    <w:rsid w:val="000E017C"/>
    <w:rsid w:val="000E091B"/>
    <w:rsid w:val="000E3B22"/>
    <w:rsid w:val="000E4E43"/>
    <w:rsid w:val="000F15D6"/>
    <w:rsid w:val="000F1CBA"/>
    <w:rsid w:val="000F4448"/>
    <w:rsid w:val="000F4CFB"/>
    <w:rsid w:val="000F4D2E"/>
    <w:rsid w:val="000F6A61"/>
    <w:rsid w:val="000F73D3"/>
    <w:rsid w:val="000F7C27"/>
    <w:rsid w:val="0010257A"/>
    <w:rsid w:val="00106693"/>
    <w:rsid w:val="0010707A"/>
    <w:rsid w:val="00107110"/>
    <w:rsid w:val="00110D8A"/>
    <w:rsid w:val="001120A5"/>
    <w:rsid w:val="00112730"/>
    <w:rsid w:val="001137A7"/>
    <w:rsid w:val="00117666"/>
    <w:rsid w:val="0012216F"/>
    <w:rsid w:val="001223A7"/>
    <w:rsid w:val="00123678"/>
    <w:rsid w:val="00123CCC"/>
    <w:rsid w:val="00123F7C"/>
    <w:rsid w:val="00124472"/>
    <w:rsid w:val="00124E8C"/>
    <w:rsid w:val="00124E93"/>
    <w:rsid w:val="00125EF5"/>
    <w:rsid w:val="00127B0A"/>
    <w:rsid w:val="0013125C"/>
    <w:rsid w:val="00131A06"/>
    <w:rsid w:val="00132619"/>
    <w:rsid w:val="0013299C"/>
    <w:rsid w:val="00132E1B"/>
    <w:rsid w:val="0013372D"/>
    <w:rsid w:val="001341F8"/>
    <w:rsid w:val="00134256"/>
    <w:rsid w:val="00137C48"/>
    <w:rsid w:val="00140945"/>
    <w:rsid w:val="00140C04"/>
    <w:rsid w:val="00140CDD"/>
    <w:rsid w:val="00141DC7"/>
    <w:rsid w:val="0014371D"/>
    <w:rsid w:val="0014407D"/>
    <w:rsid w:val="00147261"/>
    <w:rsid w:val="00147395"/>
    <w:rsid w:val="0015231F"/>
    <w:rsid w:val="00152DFE"/>
    <w:rsid w:val="001552C9"/>
    <w:rsid w:val="0015560E"/>
    <w:rsid w:val="00156E52"/>
    <w:rsid w:val="00157262"/>
    <w:rsid w:val="00166037"/>
    <w:rsid w:val="001666D6"/>
    <w:rsid w:val="00166F14"/>
    <w:rsid w:val="00167D4C"/>
    <w:rsid w:val="001704BE"/>
    <w:rsid w:val="00170773"/>
    <w:rsid w:val="00170EA0"/>
    <w:rsid w:val="00171172"/>
    <w:rsid w:val="001715DB"/>
    <w:rsid w:val="00171874"/>
    <w:rsid w:val="00173069"/>
    <w:rsid w:val="0017598C"/>
    <w:rsid w:val="00176F51"/>
    <w:rsid w:val="00177162"/>
    <w:rsid w:val="00177D84"/>
    <w:rsid w:val="001820B2"/>
    <w:rsid w:val="00182A68"/>
    <w:rsid w:val="001843C7"/>
    <w:rsid w:val="00185A9A"/>
    <w:rsid w:val="001863DA"/>
    <w:rsid w:val="001869C8"/>
    <w:rsid w:val="001870E3"/>
    <w:rsid w:val="00187D63"/>
    <w:rsid w:val="00190503"/>
    <w:rsid w:val="001916FD"/>
    <w:rsid w:val="00191C03"/>
    <w:rsid w:val="001921D1"/>
    <w:rsid w:val="00193D2B"/>
    <w:rsid w:val="00193FA5"/>
    <w:rsid w:val="001949DC"/>
    <w:rsid w:val="0019515A"/>
    <w:rsid w:val="00195676"/>
    <w:rsid w:val="00196356"/>
    <w:rsid w:val="001964EF"/>
    <w:rsid w:val="001973D6"/>
    <w:rsid w:val="001A044E"/>
    <w:rsid w:val="001A12D1"/>
    <w:rsid w:val="001A159F"/>
    <w:rsid w:val="001A1D21"/>
    <w:rsid w:val="001A1EE0"/>
    <w:rsid w:val="001A2340"/>
    <w:rsid w:val="001A26EF"/>
    <w:rsid w:val="001A2A11"/>
    <w:rsid w:val="001A2B11"/>
    <w:rsid w:val="001A4184"/>
    <w:rsid w:val="001A73EF"/>
    <w:rsid w:val="001B037D"/>
    <w:rsid w:val="001B1A2C"/>
    <w:rsid w:val="001B2D76"/>
    <w:rsid w:val="001B2F38"/>
    <w:rsid w:val="001B385B"/>
    <w:rsid w:val="001B4054"/>
    <w:rsid w:val="001B4262"/>
    <w:rsid w:val="001B4E26"/>
    <w:rsid w:val="001B5E07"/>
    <w:rsid w:val="001B7B68"/>
    <w:rsid w:val="001C0545"/>
    <w:rsid w:val="001C0ADB"/>
    <w:rsid w:val="001C20B8"/>
    <w:rsid w:val="001C21BB"/>
    <w:rsid w:val="001C56A7"/>
    <w:rsid w:val="001C56DC"/>
    <w:rsid w:val="001C6A7D"/>
    <w:rsid w:val="001C6BB7"/>
    <w:rsid w:val="001D0215"/>
    <w:rsid w:val="001D091D"/>
    <w:rsid w:val="001D0BA4"/>
    <w:rsid w:val="001D0C7E"/>
    <w:rsid w:val="001D1D56"/>
    <w:rsid w:val="001D2951"/>
    <w:rsid w:val="001D2EF6"/>
    <w:rsid w:val="001D48A1"/>
    <w:rsid w:val="001D5C23"/>
    <w:rsid w:val="001D5F67"/>
    <w:rsid w:val="001E0D70"/>
    <w:rsid w:val="001E0E6E"/>
    <w:rsid w:val="001E1A3F"/>
    <w:rsid w:val="001E1CD8"/>
    <w:rsid w:val="001E5F3F"/>
    <w:rsid w:val="001E6594"/>
    <w:rsid w:val="001F1722"/>
    <w:rsid w:val="001F2646"/>
    <w:rsid w:val="001F3585"/>
    <w:rsid w:val="001F404C"/>
    <w:rsid w:val="001F4565"/>
    <w:rsid w:val="001F4C07"/>
    <w:rsid w:val="001F4C3E"/>
    <w:rsid w:val="001F4FF4"/>
    <w:rsid w:val="001F5A3A"/>
    <w:rsid w:val="00201E1B"/>
    <w:rsid w:val="002048C0"/>
    <w:rsid w:val="002056DA"/>
    <w:rsid w:val="00205FB0"/>
    <w:rsid w:val="0020658F"/>
    <w:rsid w:val="00206679"/>
    <w:rsid w:val="00206C96"/>
    <w:rsid w:val="002115C5"/>
    <w:rsid w:val="00211AFA"/>
    <w:rsid w:val="00213A96"/>
    <w:rsid w:val="002146B7"/>
    <w:rsid w:val="0021629A"/>
    <w:rsid w:val="002162D4"/>
    <w:rsid w:val="0022088A"/>
    <w:rsid w:val="00220AEA"/>
    <w:rsid w:val="0022467A"/>
    <w:rsid w:val="00224ADB"/>
    <w:rsid w:val="00226954"/>
    <w:rsid w:val="002271B0"/>
    <w:rsid w:val="002302DB"/>
    <w:rsid w:val="00231717"/>
    <w:rsid w:val="002318E6"/>
    <w:rsid w:val="00232305"/>
    <w:rsid w:val="00232CB9"/>
    <w:rsid w:val="0023492F"/>
    <w:rsid w:val="00237D77"/>
    <w:rsid w:val="002405F5"/>
    <w:rsid w:val="00242508"/>
    <w:rsid w:val="00242FA7"/>
    <w:rsid w:val="00243749"/>
    <w:rsid w:val="002449E3"/>
    <w:rsid w:val="002450E1"/>
    <w:rsid w:val="00245767"/>
    <w:rsid w:val="00250ECA"/>
    <w:rsid w:val="00252056"/>
    <w:rsid w:val="00255D26"/>
    <w:rsid w:val="002568BE"/>
    <w:rsid w:val="0025691F"/>
    <w:rsid w:val="00257FA5"/>
    <w:rsid w:val="0026064F"/>
    <w:rsid w:val="002629A3"/>
    <w:rsid w:val="00262D2F"/>
    <w:rsid w:val="0026432F"/>
    <w:rsid w:val="00265660"/>
    <w:rsid w:val="00267D18"/>
    <w:rsid w:val="00271F3A"/>
    <w:rsid w:val="0027273E"/>
    <w:rsid w:val="002747B2"/>
    <w:rsid w:val="002758AA"/>
    <w:rsid w:val="00277ED0"/>
    <w:rsid w:val="0028032E"/>
    <w:rsid w:val="002815CB"/>
    <w:rsid w:val="00283E01"/>
    <w:rsid w:val="00283E9A"/>
    <w:rsid w:val="00284DAC"/>
    <w:rsid w:val="00285FFE"/>
    <w:rsid w:val="002868E2"/>
    <w:rsid w:val="002869C3"/>
    <w:rsid w:val="0028792C"/>
    <w:rsid w:val="00287BF8"/>
    <w:rsid w:val="002921F9"/>
    <w:rsid w:val="00292FD6"/>
    <w:rsid w:val="002936E4"/>
    <w:rsid w:val="00296078"/>
    <w:rsid w:val="00296B1E"/>
    <w:rsid w:val="00296B88"/>
    <w:rsid w:val="002A07F8"/>
    <w:rsid w:val="002A3214"/>
    <w:rsid w:val="002A6AF6"/>
    <w:rsid w:val="002A6C21"/>
    <w:rsid w:val="002A74D5"/>
    <w:rsid w:val="002B0DB4"/>
    <w:rsid w:val="002B12BA"/>
    <w:rsid w:val="002B276C"/>
    <w:rsid w:val="002B38D3"/>
    <w:rsid w:val="002B3EA9"/>
    <w:rsid w:val="002B4E61"/>
    <w:rsid w:val="002B50A8"/>
    <w:rsid w:val="002B641B"/>
    <w:rsid w:val="002B77D8"/>
    <w:rsid w:val="002C0315"/>
    <w:rsid w:val="002C03B5"/>
    <w:rsid w:val="002C2107"/>
    <w:rsid w:val="002C52FF"/>
    <w:rsid w:val="002C5725"/>
    <w:rsid w:val="002C6483"/>
    <w:rsid w:val="002C74CA"/>
    <w:rsid w:val="002C75CB"/>
    <w:rsid w:val="002C7C9F"/>
    <w:rsid w:val="002D0022"/>
    <w:rsid w:val="002D2B02"/>
    <w:rsid w:val="002D495E"/>
    <w:rsid w:val="002D5919"/>
    <w:rsid w:val="002D59B5"/>
    <w:rsid w:val="002D688A"/>
    <w:rsid w:val="002D6B3C"/>
    <w:rsid w:val="002D7367"/>
    <w:rsid w:val="002E04C3"/>
    <w:rsid w:val="002E3965"/>
    <w:rsid w:val="002E4E96"/>
    <w:rsid w:val="002E6681"/>
    <w:rsid w:val="002F08CB"/>
    <w:rsid w:val="002F1CC1"/>
    <w:rsid w:val="002F2A3C"/>
    <w:rsid w:val="002F5522"/>
    <w:rsid w:val="002F7371"/>
    <w:rsid w:val="002F744D"/>
    <w:rsid w:val="002F77CE"/>
    <w:rsid w:val="00301809"/>
    <w:rsid w:val="003028E6"/>
    <w:rsid w:val="00303D83"/>
    <w:rsid w:val="00303DE6"/>
    <w:rsid w:val="00305086"/>
    <w:rsid w:val="00310124"/>
    <w:rsid w:val="00310183"/>
    <w:rsid w:val="00310DB5"/>
    <w:rsid w:val="00310E69"/>
    <w:rsid w:val="00311CFE"/>
    <w:rsid w:val="003120A2"/>
    <w:rsid w:val="0031219E"/>
    <w:rsid w:val="0031589C"/>
    <w:rsid w:val="00316A40"/>
    <w:rsid w:val="00322764"/>
    <w:rsid w:val="003233F9"/>
    <w:rsid w:val="00323406"/>
    <w:rsid w:val="003263B0"/>
    <w:rsid w:val="003269F8"/>
    <w:rsid w:val="00327BCA"/>
    <w:rsid w:val="00330DAB"/>
    <w:rsid w:val="00331262"/>
    <w:rsid w:val="003331D0"/>
    <w:rsid w:val="00335923"/>
    <w:rsid w:val="0034231C"/>
    <w:rsid w:val="00342F94"/>
    <w:rsid w:val="003544FB"/>
    <w:rsid w:val="003547BC"/>
    <w:rsid w:val="00361505"/>
    <w:rsid w:val="00362779"/>
    <w:rsid w:val="00364EB5"/>
    <w:rsid w:val="00365D63"/>
    <w:rsid w:val="003676B9"/>
    <w:rsid w:val="0036793B"/>
    <w:rsid w:val="003705CA"/>
    <w:rsid w:val="0037162F"/>
    <w:rsid w:val="00371AA5"/>
    <w:rsid w:val="00371EAC"/>
    <w:rsid w:val="00372210"/>
    <w:rsid w:val="00372303"/>
    <w:rsid w:val="00372682"/>
    <w:rsid w:val="00372689"/>
    <w:rsid w:val="00372AF5"/>
    <w:rsid w:val="00375AF9"/>
    <w:rsid w:val="00376CC5"/>
    <w:rsid w:val="00376E3D"/>
    <w:rsid w:val="00377B56"/>
    <w:rsid w:val="0038089D"/>
    <w:rsid w:val="00380B81"/>
    <w:rsid w:val="00381E63"/>
    <w:rsid w:val="00384FA9"/>
    <w:rsid w:val="003851FD"/>
    <w:rsid w:val="0038631D"/>
    <w:rsid w:val="0038651C"/>
    <w:rsid w:val="00390AC1"/>
    <w:rsid w:val="00392C20"/>
    <w:rsid w:val="00395160"/>
    <w:rsid w:val="0039693B"/>
    <w:rsid w:val="00396B83"/>
    <w:rsid w:val="003A0E08"/>
    <w:rsid w:val="003A139E"/>
    <w:rsid w:val="003A15FC"/>
    <w:rsid w:val="003A2390"/>
    <w:rsid w:val="003A287A"/>
    <w:rsid w:val="003A36CD"/>
    <w:rsid w:val="003A5118"/>
    <w:rsid w:val="003A5205"/>
    <w:rsid w:val="003B1BD7"/>
    <w:rsid w:val="003B5394"/>
    <w:rsid w:val="003B5AD2"/>
    <w:rsid w:val="003B63AB"/>
    <w:rsid w:val="003C1593"/>
    <w:rsid w:val="003C7150"/>
    <w:rsid w:val="003C72AF"/>
    <w:rsid w:val="003C7C70"/>
    <w:rsid w:val="003D2E15"/>
    <w:rsid w:val="003D2F2D"/>
    <w:rsid w:val="003D7C3A"/>
    <w:rsid w:val="003D7F64"/>
    <w:rsid w:val="003E0525"/>
    <w:rsid w:val="003E1D5F"/>
    <w:rsid w:val="003E241B"/>
    <w:rsid w:val="003E26DD"/>
    <w:rsid w:val="003E29EB"/>
    <w:rsid w:val="003E2BB7"/>
    <w:rsid w:val="003E644F"/>
    <w:rsid w:val="003E7CFF"/>
    <w:rsid w:val="003F2A33"/>
    <w:rsid w:val="003F31BA"/>
    <w:rsid w:val="003F3C1C"/>
    <w:rsid w:val="003F3F27"/>
    <w:rsid w:val="003F6FCE"/>
    <w:rsid w:val="00400CA3"/>
    <w:rsid w:val="004014E9"/>
    <w:rsid w:val="00401590"/>
    <w:rsid w:val="004030E2"/>
    <w:rsid w:val="004031A6"/>
    <w:rsid w:val="00403450"/>
    <w:rsid w:val="0040363B"/>
    <w:rsid w:val="00403DE8"/>
    <w:rsid w:val="00411806"/>
    <w:rsid w:val="004135B6"/>
    <w:rsid w:val="00413681"/>
    <w:rsid w:val="00414D09"/>
    <w:rsid w:val="00414D67"/>
    <w:rsid w:val="00414D87"/>
    <w:rsid w:val="00415628"/>
    <w:rsid w:val="00417773"/>
    <w:rsid w:val="00420C27"/>
    <w:rsid w:val="00421DD0"/>
    <w:rsid w:val="00422C94"/>
    <w:rsid w:val="004242AA"/>
    <w:rsid w:val="004249F2"/>
    <w:rsid w:val="00425492"/>
    <w:rsid w:val="00425A88"/>
    <w:rsid w:val="004271A2"/>
    <w:rsid w:val="00431760"/>
    <w:rsid w:val="00433DF6"/>
    <w:rsid w:val="0043437E"/>
    <w:rsid w:val="004356C5"/>
    <w:rsid w:val="0044211D"/>
    <w:rsid w:val="00443646"/>
    <w:rsid w:val="00445724"/>
    <w:rsid w:val="00445AC2"/>
    <w:rsid w:val="004473AD"/>
    <w:rsid w:val="004519BF"/>
    <w:rsid w:val="00452AE7"/>
    <w:rsid w:val="004602D3"/>
    <w:rsid w:val="004606D8"/>
    <w:rsid w:val="004611E8"/>
    <w:rsid w:val="0046284D"/>
    <w:rsid w:val="00463E3D"/>
    <w:rsid w:val="0046459F"/>
    <w:rsid w:val="004645AE"/>
    <w:rsid w:val="004646A5"/>
    <w:rsid w:val="00465564"/>
    <w:rsid w:val="004659C8"/>
    <w:rsid w:val="00465F75"/>
    <w:rsid w:val="00466CE3"/>
    <w:rsid w:val="004704A8"/>
    <w:rsid w:val="004706CA"/>
    <w:rsid w:val="00474268"/>
    <w:rsid w:val="004742A1"/>
    <w:rsid w:val="00481556"/>
    <w:rsid w:val="0048252D"/>
    <w:rsid w:val="00482D90"/>
    <w:rsid w:val="00482E97"/>
    <w:rsid w:val="0048499F"/>
    <w:rsid w:val="00487F10"/>
    <w:rsid w:val="00490A0D"/>
    <w:rsid w:val="00495555"/>
    <w:rsid w:val="0049615A"/>
    <w:rsid w:val="0049694F"/>
    <w:rsid w:val="004969A6"/>
    <w:rsid w:val="004969D7"/>
    <w:rsid w:val="00497D01"/>
    <w:rsid w:val="00497D43"/>
    <w:rsid w:val="004A0886"/>
    <w:rsid w:val="004A15CC"/>
    <w:rsid w:val="004A2EB8"/>
    <w:rsid w:val="004A3F24"/>
    <w:rsid w:val="004A4517"/>
    <w:rsid w:val="004A47AF"/>
    <w:rsid w:val="004A66C6"/>
    <w:rsid w:val="004B06C0"/>
    <w:rsid w:val="004B1FF4"/>
    <w:rsid w:val="004B3062"/>
    <w:rsid w:val="004B4516"/>
    <w:rsid w:val="004B4524"/>
    <w:rsid w:val="004B452B"/>
    <w:rsid w:val="004B697F"/>
    <w:rsid w:val="004B6BD1"/>
    <w:rsid w:val="004B7CFF"/>
    <w:rsid w:val="004C1D46"/>
    <w:rsid w:val="004C4359"/>
    <w:rsid w:val="004C55A8"/>
    <w:rsid w:val="004C6BE0"/>
    <w:rsid w:val="004C78A3"/>
    <w:rsid w:val="004C794E"/>
    <w:rsid w:val="004D03AB"/>
    <w:rsid w:val="004D101B"/>
    <w:rsid w:val="004D180E"/>
    <w:rsid w:val="004D1871"/>
    <w:rsid w:val="004D24C0"/>
    <w:rsid w:val="004D3B32"/>
    <w:rsid w:val="004D3E33"/>
    <w:rsid w:val="004D3ED0"/>
    <w:rsid w:val="004D4360"/>
    <w:rsid w:val="004D5627"/>
    <w:rsid w:val="004D59D4"/>
    <w:rsid w:val="004D6D76"/>
    <w:rsid w:val="004E0560"/>
    <w:rsid w:val="004E2290"/>
    <w:rsid w:val="004E2E4F"/>
    <w:rsid w:val="004E62D2"/>
    <w:rsid w:val="004F02C3"/>
    <w:rsid w:val="004F0BD1"/>
    <w:rsid w:val="004F11A4"/>
    <w:rsid w:val="004F12ED"/>
    <w:rsid w:val="004F458F"/>
    <w:rsid w:val="004F5153"/>
    <w:rsid w:val="004F5590"/>
    <w:rsid w:val="004F5B2E"/>
    <w:rsid w:val="004F716F"/>
    <w:rsid w:val="005002A9"/>
    <w:rsid w:val="00500566"/>
    <w:rsid w:val="00501CA4"/>
    <w:rsid w:val="00502BFE"/>
    <w:rsid w:val="00503225"/>
    <w:rsid w:val="00504374"/>
    <w:rsid w:val="00507DCB"/>
    <w:rsid w:val="005125FF"/>
    <w:rsid w:val="0051305D"/>
    <w:rsid w:val="005145E1"/>
    <w:rsid w:val="005160CD"/>
    <w:rsid w:val="00520238"/>
    <w:rsid w:val="00522F8B"/>
    <w:rsid w:val="005240B1"/>
    <w:rsid w:val="00524BFD"/>
    <w:rsid w:val="005250F2"/>
    <w:rsid w:val="005257DF"/>
    <w:rsid w:val="00526F4A"/>
    <w:rsid w:val="00527112"/>
    <w:rsid w:val="005274E9"/>
    <w:rsid w:val="00531922"/>
    <w:rsid w:val="00531DDE"/>
    <w:rsid w:val="005329B7"/>
    <w:rsid w:val="00532F43"/>
    <w:rsid w:val="00533A3B"/>
    <w:rsid w:val="00533B21"/>
    <w:rsid w:val="00533E4B"/>
    <w:rsid w:val="00534AD4"/>
    <w:rsid w:val="00535091"/>
    <w:rsid w:val="0053737B"/>
    <w:rsid w:val="00537EAF"/>
    <w:rsid w:val="00542ADE"/>
    <w:rsid w:val="00542B26"/>
    <w:rsid w:val="005437FD"/>
    <w:rsid w:val="00543CD3"/>
    <w:rsid w:val="00543D1A"/>
    <w:rsid w:val="00544AD8"/>
    <w:rsid w:val="005465A8"/>
    <w:rsid w:val="0054676D"/>
    <w:rsid w:val="005470D1"/>
    <w:rsid w:val="0055122A"/>
    <w:rsid w:val="00552065"/>
    <w:rsid w:val="005524E7"/>
    <w:rsid w:val="00555D25"/>
    <w:rsid w:val="00556717"/>
    <w:rsid w:val="0055698A"/>
    <w:rsid w:val="00557CB6"/>
    <w:rsid w:val="00560A6F"/>
    <w:rsid w:val="00560F82"/>
    <w:rsid w:val="00561547"/>
    <w:rsid w:val="00561C6E"/>
    <w:rsid w:val="00563F01"/>
    <w:rsid w:val="005640AC"/>
    <w:rsid w:val="0056471C"/>
    <w:rsid w:val="0056523D"/>
    <w:rsid w:val="00567F4E"/>
    <w:rsid w:val="00571798"/>
    <w:rsid w:val="00573466"/>
    <w:rsid w:val="0057538A"/>
    <w:rsid w:val="00576571"/>
    <w:rsid w:val="0057673D"/>
    <w:rsid w:val="00577D3E"/>
    <w:rsid w:val="00580E7D"/>
    <w:rsid w:val="0058129B"/>
    <w:rsid w:val="005816FB"/>
    <w:rsid w:val="005825E6"/>
    <w:rsid w:val="00583E2A"/>
    <w:rsid w:val="00586D17"/>
    <w:rsid w:val="00587B9D"/>
    <w:rsid w:val="00587E52"/>
    <w:rsid w:val="00591E51"/>
    <w:rsid w:val="0059208F"/>
    <w:rsid w:val="005940B2"/>
    <w:rsid w:val="0059452D"/>
    <w:rsid w:val="0059506D"/>
    <w:rsid w:val="0059648A"/>
    <w:rsid w:val="005A1D84"/>
    <w:rsid w:val="005A415D"/>
    <w:rsid w:val="005A5EFE"/>
    <w:rsid w:val="005A600D"/>
    <w:rsid w:val="005A65F7"/>
    <w:rsid w:val="005A70EA"/>
    <w:rsid w:val="005A718A"/>
    <w:rsid w:val="005A769A"/>
    <w:rsid w:val="005B19BC"/>
    <w:rsid w:val="005B2064"/>
    <w:rsid w:val="005B24FB"/>
    <w:rsid w:val="005B33D7"/>
    <w:rsid w:val="005B5560"/>
    <w:rsid w:val="005B6BEE"/>
    <w:rsid w:val="005B79EE"/>
    <w:rsid w:val="005C0911"/>
    <w:rsid w:val="005C0FE8"/>
    <w:rsid w:val="005C3963"/>
    <w:rsid w:val="005C6CB1"/>
    <w:rsid w:val="005C73DA"/>
    <w:rsid w:val="005D1840"/>
    <w:rsid w:val="005D189C"/>
    <w:rsid w:val="005D1C71"/>
    <w:rsid w:val="005D35E4"/>
    <w:rsid w:val="005D38B9"/>
    <w:rsid w:val="005D403B"/>
    <w:rsid w:val="005D7910"/>
    <w:rsid w:val="005E0006"/>
    <w:rsid w:val="005E18A8"/>
    <w:rsid w:val="005E295C"/>
    <w:rsid w:val="005E38C2"/>
    <w:rsid w:val="005E5190"/>
    <w:rsid w:val="005E58A6"/>
    <w:rsid w:val="005E62AD"/>
    <w:rsid w:val="005E711F"/>
    <w:rsid w:val="005F0429"/>
    <w:rsid w:val="005F07D0"/>
    <w:rsid w:val="005F0B7C"/>
    <w:rsid w:val="005F12A4"/>
    <w:rsid w:val="005F1F17"/>
    <w:rsid w:val="005F2326"/>
    <w:rsid w:val="005F2355"/>
    <w:rsid w:val="005F3B31"/>
    <w:rsid w:val="00601147"/>
    <w:rsid w:val="00605BC2"/>
    <w:rsid w:val="00607F8A"/>
    <w:rsid w:val="00612364"/>
    <w:rsid w:val="00620047"/>
    <w:rsid w:val="00620DD5"/>
    <w:rsid w:val="00620FE1"/>
    <w:rsid w:val="0062154F"/>
    <w:rsid w:val="0062569C"/>
    <w:rsid w:val="00625BF7"/>
    <w:rsid w:val="006260C3"/>
    <w:rsid w:val="00630190"/>
    <w:rsid w:val="00630CC6"/>
    <w:rsid w:val="00630D61"/>
    <w:rsid w:val="00631A8C"/>
    <w:rsid w:val="00632130"/>
    <w:rsid w:val="00632222"/>
    <w:rsid w:val="006329C1"/>
    <w:rsid w:val="00637F88"/>
    <w:rsid w:val="00641986"/>
    <w:rsid w:val="00643CE3"/>
    <w:rsid w:val="00645BB9"/>
    <w:rsid w:val="0064799C"/>
    <w:rsid w:val="00647E9D"/>
    <w:rsid w:val="0065014E"/>
    <w:rsid w:val="00651CA2"/>
    <w:rsid w:val="0065346F"/>
    <w:rsid w:val="00653D60"/>
    <w:rsid w:val="0065426F"/>
    <w:rsid w:val="0065522C"/>
    <w:rsid w:val="0065601E"/>
    <w:rsid w:val="00656510"/>
    <w:rsid w:val="006569B0"/>
    <w:rsid w:val="00657FB9"/>
    <w:rsid w:val="00660179"/>
    <w:rsid w:val="00660D05"/>
    <w:rsid w:val="00661340"/>
    <w:rsid w:val="006632EA"/>
    <w:rsid w:val="00664E0A"/>
    <w:rsid w:val="00665910"/>
    <w:rsid w:val="00666182"/>
    <w:rsid w:val="0067123F"/>
    <w:rsid w:val="00671D9A"/>
    <w:rsid w:val="00673216"/>
    <w:rsid w:val="00673952"/>
    <w:rsid w:val="00673C16"/>
    <w:rsid w:val="00674AA3"/>
    <w:rsid w:val="00675B5F"/>
    <w:rsid w:val="00680CAC"/>
    <w:rsid w:val="00681821"/>
    <w:rsid w:val="00681BDC"/>
    <w:rsid w:val="00682224"/>
    <w:rsid w:val="00682BFE"/>
    <w:rsid w:val="00683D29"/>
    <w:rsid w:val="0068632A"/>
    <w:rsid w:val="006866F1"/>
    <w:rsid w:val="00686C9D"/>
    <w:rsid w:val="00690202"/>
    <w:rsid w:val="00695C5C"/>
    <w:rsid w:val="00695CAF"/>
    <w:rsid w:val="006971FE"/>
    <w:rsid w:val="00697838"/>
    <w:rsid w:val="006A08C6"/>
    <w:rsid w:val="006A416B"/>
    <w:rsid w:val="006A4E81"/>
    <w:rsid w:val="006A766D"/>
    <w:rsid w:val="006B2D5B"/>
    <w:rsid w:val="006B4986"/>
    <w:rsid w:val="006B5985"/>
    <w:rsid w:val="006B5D85"/>
    <w:rsid w:val="006B64B5"/>
    <w:rsid w:val="006B7D14"/>
    <w:rsid w:val="006C05D9"/>
    <w:rsid w:val="006C1FCB"/>
    <w:rsid w:val="006C299A"/>
    <w:rsid w:val="006C3E29"/>
    <w:rsid w:val="006C4103"/>
    <w:rsid w:val="006C455E"/>
    <w:rsid w:val="006C5F65"/>
    <w:rsid w:val="006C6512"/>
    <w:rsid w:val="006D2DF6"/>
    <w:rsid w:val="006D4A5B"/>
    <w:rsid w:val="006D5B93"/>
    <w:rsid w:val="006D79A9"/>
    <w:rsid w:val="006E0CA4"/>
    <w:rsid w:val="006E2D44"/>
    <w:rsid w:val="006E407F"/>
    <w:rsid w:val="006F08D0"/>
    <w:rsid w:val="006F20E8"/>
    <w:rsid w:val="006F2CEF"/>
    <w:rsid w:val="006F375D"/>
    <w:rsid w:val="006F629D"/>
    <w:rsid w:val="006F779D"/>
    <w:rsid w:val="006F7BC6"/>
    <w:rsid w:val="0070184A"/>
    <w:rsid w:val="00702DD8"/>
    <w:rsid w:val="00704332"/>
    <w:rsid w:val="00704B03"/>
    <w:rsid w:val="00705017"/>
    <w:rsid w:val="0070575B"/>
    <w:rsid w:val="00706998"/>
    <w:rsid w:val="00707F08"/>
    <w:rsid w:val="007100CF"/>
    <w:rsid w:val="007115FC"/>
    <w:rsid w:val="00714731"/>
    <w:rsid w:val="0071533E"/>
    <w:rsid w:val="0071797D"/>
    <w:rsid w:val="00717A7E"/>
    <w:rsid w:val="00717AE5"/>
    <w:rsid w:val="00717B8D"/>
    <w:rsid w:val="007231F7"/>
    <w:rsid w:val="00724AC8"/>
    <w:rsid w:val="00725A7D"/>
    <w:rsid w:val="00725BD3"/>
    <w:rsid w:val="007261BB"/>
    <w:rsid w:val="0073085C"/>
    <w:rsid w:val="00731B8E"/>
    <w:rsid w:val="007327AB"/>
    <w:rsid w:val="00732DCA"/>
    <w:rsid w:val="007332D1"/>
    <w:rsid w:val="00733784"/>
    <w:rsid w:val="00733BC7"/>
    <w:rsid w:val="00734510"/>
    <w:rsid w:val="00735D8C"/>
    <w:rsid w:val="00737087"/>
    <w:rsid w:val="007371C5"/>
    <w:rsid w:val="007406E5"/>
    <w:rsid w:val="007422BD"/>
    <w:rsid w:val="0074268C"/>
    <w:rsid w:val="007433F1"/>
    <w:rsid w:val="007453BA"/>
    <w:rsid w:val="00746505"/>
    <w:rsid w:val="00746873"/>
    <w:rsid w:val="007530BB"/>
    <w:rsid w:val="00753EBF"/>
    <w:rsid w:val="0075412F"/>
    <w:rsid w:val="007611E7"/>
    <w:rsid w:val="00761BA3"/>
    <w:rsid w:val="0076205B"/>
    <w:rsid w:val="007626D3"/>
    <w:rsid w:val="0076288A"/>
    <w:rsid w:val="00763DB5"/>
    <w:rsid w:val="00765D68"/>
    <w:rsid w:val="00766CB6"/>
    <w:rsid w:val="007678D3"/>
    <w:rsid w:val="007705BC"/>
    <w:rsid w:val="007712B9"/>
    <w:rsid w:val="007731A8"/>
    <w:rsid w:val="007737FC"/>
    <w:rsid w:val="00773EF1"/>
    <w:rsid w:val="00774121"/>
    <w:rsid w:val="007741D6"/>
    <w:rsid w:val="00774F80"/>
    <w:rsid w:val="00775838"/>
    <w:rsid w:val="00775F62"/>
    <w:rsid w:val="0077787D"/>
    <w:rsid w:val="00782444"/>
    <w:rsid w:val="00782AA1"/>
    <w:rsid w:val="00784207"/>
    <w:rsid w:val="00785BB6"/>
    <w:rsid w:val="007905F1"/>
    <w:rsid w:val="00790BB3"/>
    <w:rsid w:val="007914ED"/>
    <w:rsid w:val="00792043"/>
    <w:rsid w:val="0079286E"/>
    <w:rsid w:val="0079447A"/>
    <w:rsid w:val="00796342"/>
    <w:rsid w:val="0079749D"/>
    <w:rsid w:val="00797EDD"/>
    <w:rsid w:val="007A0461"/>
    <w:rsid w:val="007A2910"/>
    <w:rsid w:val="007A2CD2"/>
    <w:rsid w:val="007A41E0"/>
    <w:rsid w:val="007A493E"/>
    <w:rsid w:val="007A4FB2"/>
    <w:rsid w:val="007A5035"/>
    <w:rsid w:val="007A590A"/>
    <w:rsid w:val="007A59B5"/>
    <w:rsid w:val="007B0322"/>
    <w:rsid w:val="007B202A"/>
    <w:rsid w:val="007B20AB"/>
    <w:rsid w:val="007B3F2A"/>
    <w:rsid w:val="007B511D"/>
    <w:rsid w:val="007B6ADD"/>
    <w:rsid w:val="007C0E3F"/>
    <w:rsid w:val="007C206C"/>
    <w:rsid w:val="007C5729"/>
    <w:rsid w:val="007C593C"/>
    <w:rsid w:val="007C5C42"/>
    <w:rsid w:val="007C79A4"/>
    <w:rsid w:val="007C7D0E"/>
    <w:rsid w:val="007D2FA3"/>
    <w:rsid w:val="007D3A2B"/>
    <w:rsid w:val="007D5EC3"/>
    <w:rsid w:val="007E0733"/>
    <w:rsid w:val="007E0CC3"/>
    <w:rsid w:val="007E0D35"/>
    <w:rsid w:val="007E39BE"/>
    <w:rsid w:val="007E3A8A"/>
    <w:rsid w:val="007E4661"/>
    <w:rsid w:val="007E5B84"/>
    <w:rsid w:val="007E7367"/>
    <w:rsid w:val="007F1013"/>
    <w:rsid w:val="007F1BC2"/>
    <w:rsid w:val="007F34BA"/>
    <w:rsid w:val="007F49AF"/>
    <w:rsid w:val="007F5423"/>
    <w:rsid w:val="007F61C6"/>
    <w:rsid w:val="007F68BF"/>
    <w:rsid w:val="00801040"/>
    <w:rsid w:val="00802968"/>
    <w:rsid w:val="00806770"/>
    <w:rsid w:val="0081002B"/>
    <w:rsid w:val="008111E4"/>
    <w:rsid w:val="008123E0"/>
    <w:rsid w:val="0081301C"/>
    <w:rsid w:val="00814119"/>
    <w:rsid w:val="008150C5"/>
    <w:rsid w:val="0081633F"/>
    <w:rsid w:val="00817DD6"/>
    <w:rsid w:val="00820267"/>
    <w:rsid w:val="008226D9"/>
    <w:rsid w:val="00831962"/>
    <w:rsid w:val="00832268"/>
    <w:rsid w:val="0083299C"/>
    <w:rsid w:val="00832BB6"/>
    <w:rsid w:val="0083397F"/>
    <w:rsid w:val="008339F3"/>
    <w:rsid w:val="008356FF"/>
    <w:rsid w:val="008359FD"/>
    <w:rsid w:val="0083637B"/>
    <w:rsid w:val="00837151"/>
    <w:rsid w:val="00837DCC"/>
    <w:rsid w:val="00842654"/>
    <w:rsid w:val="00842D08"/>
    <w:rsid w:val="0084451D"/>
    <w:rsid w:val="00845E71"/>
    <w:rsid w:val="00854011"/>
    <w:rsid w:val="00857D66"/>
    <w:rsid w:val="00857F2B"/>
    <w:rsid w:val="0086146C"/>
    <w:rsid w:val="008629A9"/>
    <w:rsid w:val="0086306F"/>
    <w:rsid w:val="0086335B"/>
    <w:rsid w:val="0086365B"/>
    <w:rsid w:val="00864CBE"/>
    <w:rsid w:val="0086515D"/>
    <w:rsid w:val="008658BD"/>
    <w:rsid w:val="00865B13"/>
    <w:rsid w:val="00865E66"/>
    <w:rsid w:val="008715D9"/>
    <w:rsid w:val="008740B2"/>
    <w:rsid w:val="00874E62"/>
    <w:rsid w:val="0087617D"/>
    <w:rsid w:val="00876D15"/>
    <w:rsid w:val="008778DB"/>
    <w:rsid w:val="00880118"/>
    <w:rsid w:val="008809DE"/>
    <w:rsid w:val="00880E9D"/>
    <w:rsid w:val="00882976"/>
    <w:rsid w:val="00884975"/>
    <w:rsid w:val="0088513A"/>
    <w:rsid w:val="008870A2"/>
    <w:rsid w:val="00890A7B"/>
    <w:rsid w:val="00891ECB"/>
    <w:rsid w:val="00892003"/>
    <w:rsid w:val="00892A10"/>
    <w:rsid w:val="00893C19"/>
    <w:rsid w:val="00894497"/>
    <w:rsid w:val="00894F2E"/>
    <w:rsid w:val="008957E9"/>
    <w:rsid w:val="00895E05"/>
    <w:rsid w:val="008960D9"/>
    <w:rsid w:val="00897B85"/>
    <w:rsid w:val="008A06E3"/>
    <w:rsid w:val="008A22F0"/>
    <w:rsid w:val="008A3E6F"/>
    <w:rsid w:val="008A4955"/>
    <w:rsid w:val="008A5B2F"/>
    <w:rsid w:val="008A5E52"/>
    <w:rsid w:val="008A7C5C"/>
    <w:rsid w:val="008B0721"/>
    <w:rsid w:val="008B1740"/>
    <w:rsid w:val="008B30CB"/>
    <w:rsid w:val="008B5431"/>
    <w:rsid w:val="008B758A"/>
    <w:rsid w:val="008B7A74"/>
    <w:rsid w:val="008C044D"/>
    <w:rsid w:val="008C1A97"/>
    <w:rsid w:val="008C3879"/>
    <w:rsid w:val="008C4172"/>
    <w:rsid w:val="008C58BB"/>
    <w:rsid w:val="008C64F6"/>
    <w:rsid w:val="008D0063"/>
    <w:rsid w:val="008D0D68"/>
    <w:rsid w:val="008D32EF"/>
    <w:rsid w:val="008D33BA"/>
    <w:rsid w:val="008D6C8D"/>
    <w:rsid w:val="008E2B54"/>
    <w:rsid w:val="008E393D"/>
    <w:rsid w:val="008E4404"/>
    <w:rsid w:val="008E514A"/>
    <w:rsid w:val="008E58C7"/>
    <w:rsid w:val="008E5FFC"/>
    <w:rsid w:val="008E6DB2"/>
    <w:rsid w:val="008F0099"/>
    <w:rsid w:val="008F1ED6"/>
    <w:rsid w:val="008F3614"/>
    <w:rsid w:val="008F3E4D"/>
    <w:rsid w:val="008F4848"/>
    <w:rsid w:val="008F5021"/>
    <w:rsid w:val="008F5551"/>
    <w:rsid w:val="008F7426"/>
    <w:rsid w:val="008F7649"/>
    <w:rsid w:val="00900B08"/>
    <w:rsid w:val="009025C7"/>
    <w:rsid w:val="009038C3"/>
    <w:rsid w:val="0090471F"/>
    <w:rsid w:val="009047BF"/>
    <w:rsid w:val="00906300"/>
    <w:rsid w:val="00906C0B"/>
    <w:rsid w:val="009079D7"/>
    <w:rsid w:val="009101E6"/>
    <w:rsid w:val="00910320"/>
    <w:rsid w:val="0091154E"/>
    <w:rsid w:val="0091194E"/>
    <w:rsid w:val="0091375A"/>
    <w:rsid w:val="00916615"/>
    <w:rsid w:val="00916D81"/>
    <w:rsid w:val="00917E40"/>
    <w:rsid w:val="00921095"/>
    <w:rsid w:val="009238A7"/>
    <w:rsid w:val="00925559"/>
    <w:rsid w:val="009272B4"/>
    <w:rsid w:val="00932E63"/>
    <w:rsid w:val="00932FD7"/>
    <w:rsid w:val="00934F43"/>
    <w:rsid w:val="00935BD5"/>
    <w:rsid w:val="00936187"/>
    <w:rsid w:val="00936C96"/>
    <w:rsid w:val="00940205"/>
    <w:rsid w:val="00940AA5"/>
    <w:rsid w:val="00940E79"/>
    <w:rsid w:val="00943573"/>
    <w:rsid w:val="00943A97"/>
    <w:rsid w:val="00944442"/>
    <w:rsid w:val="00947E72"/>
    <w:rsid w:val="009508A4"/>
    <w:rsid w:val="0095179A"/>
    <w:rsid w:val="009519E0"/>
    <w:rsid w:val="00952016"/>
    <w:rsid w:val="00952A58"/>
    <w:rsid w:val="009532FE"/>
    <w:rsid w:val="009545BD"/>
    <w:rsid w:val="0095607A"/>
    <w:rsid w:val="00961C3F"/>
    <w:rsid w:val="0096218C"/>
    <w:rsid w:val="0096226C"/>
    <w:rsid w:val="009624B0"/>
    <w:rsid w:val="009641D9"/>
    <w:rsid w:val="0096639D"/>
    <w:rsid w:val="0096641B"/>
    <w:rsid w:val="00971B61"/>
    <w:rsid w:val="0097535C"/>
    <w:rsid w:val="00975A5B"/>
    <w:rsid w:val="0097669E"/>
    <w:rsid w:val="00976949"/>
    <w:rsid w:val="00977195"/>
    <w:rsid w:val="00980C31"/>
    <w:rsid w:val="00983B8E"/>
    <w:rsid w:val="009857B8"/>
    <w:rsid w:val="00990914"/>
    <w:rsid w:val="00991500"/>
    <w:rsid w:val="00992BB8"/>
    <w:rsid w:val="0099346D"/>
    <w:rsid w:val="00993E6A"/>
    <w:rsid w:val="009946A6"/>
    <w:rsid w:val="009955FF"/>
    <w:rsid w:val="00996223"/>
    <w:rsid w:val="009969AE"/>
    <w:rsid w:val="009972DA"/>
    <w:rsid w:val="00997AA0"/>
    <w:rsid w:val="009A0C73"/>
    <w:rsid w:val="009A12F7"/>
    <w:rsid w:val="009A54FE"/>
    <w:rsid w:val="009A693C"/>
    <w:rsid w:val="009B2070"/>
    <w:rsid w:val="009B24B6"/>
    <w:rsid w:val="009B3B3C"/>
    <w:rsid w:val="009C0773"/>
    <w:rsid w:val="009C07BC"/>
    <w:rsid w:val="009C4FF7"/>
    <w:rsid w:val="009C6A3C"/>
    <w:rsid w:val="009D0457"/>
    <w:rsid w:val="009D259D"/>
    <w:rsid w:val="009D4556"/>
    <w:rsid w:val="009D49E4"/>
    <w:rsid w:val="009D5083"/>
    <w:rsid w:val="009E2BD3"/>
    <w:rsid w:val="009E4C79"/>
    <w:rsid w:val="009E5F72"/>
    <w:rsid w:val="009F490D"/>
    <w:rsid w:val="009F50ED"/>
    <w:rsid w:val="009F6C67"/>
    <w:rsid w:val="009F7A07"/>
    <w:rsid w:val="009F7A37"/>
    <w:rsid w:val="00A00EC5"/>
    <w:rsid w:val="00A02984"/>
    <w:rsid w:val="00A046A8"/>
    <w:rsid w:val="00A0546A"/>
    <w:rsid w:val="00A115B3"/>
    <w:rsid w:val="00A1279C"/>
    <w:rsid w:val="00A1507B"/>
    <w:rsid w:val="00A158F1"/>
    <w:rsid w:val="00A1609D"/>
    <w:rsid w:val="00A1685E"/>
    <w:rsid w:val="00A20A31"/>
    <w:rsid w:val="00A21867"/>
    <w:rsid w:val="00A21B9D"/>
    <w:rsid w:val="00A21C50"/>
    <w:rsid w:val="00A2267A"/>
    <w:rsid w:val="00A23977"/>
    <w:rsid w:val="00A27CD6"/>
    <w:rsid w:val="00A32B96"/>
    <w:rsid w:val="00A33213"/>
    <w:rsid w:val="00A3361C"/>
    <w:rsid w:val="00A338D8"/>
    <w:rsid w:val="00A33BF9"/>
    <w:rsid w:val="00A362AC"/>
    <w:rsid w:val="00A363A7"/>
    <w:rsid w:val="00A37DC3"/>
    <w:rsid w:val="00A4020F"/>
    <w:rsid w:val="00A46740"/>
    <w:rsid w:val="00A471B2"/>
    <w:rsid w:val="00A50D9D"/>
    <w:rsid w:val="00A511A0"/>
    <w:rsid w:val="00A523D3"/>
    <w:rsid w:val="00A52436"/>
    <w:rsid w:val="00A52A8D"/>
    <w:rsid w:val="00A53000"/>
    <w:rsid w:val="00A53397"/>
    <w:rsid w:val="00A53C76"/>
    <w:rsid w:val="00A5422B"/>
    <w:rsid w:val="00A5441B"/>
    <w:rsid w:val="00A545C6"/>
    <w:rsid w:val="00A566A9"/>
    <w:rsid w:val="00A56AF7"/>
    <w:rsid w:val="00A56E3F"/>
    <w:rsid w:val="00A57397"/>
    <w:rsid w:val="00A577DB"/>
    <w:rsid w:val="00A57AD5"/>
    <w:rsid w:val="00A60631"/>
    <w:rsid w:val="00A60D2A"/>
    <w:rsid w:val="00A61534"/>
    <w:rsid w:val="00A62D8B"/>
    <w:rsid w:val="00A63028"/>
    <w:rsid w:val="00A652D0"/>
    <w:rsid w:val="00A67F66"/>
    <w:rsid w:val="00A71550"/>
    <w:rsid w:val="00A73E6E"/>
    <w:rsid w:val="00A74411"/>
    <w:rsid w:val="00A75950"/>
    <w:rsid w:val="00A75F87"/>
    <w:rsid w:val="00A775E4"/>
    <w:rsid w:val="00A807B3"/>
    <w:rsid w:val="00A81B77"/>
    <w:rsid w:val="00A81C80"/>
    <w:rsid w:val="00A82D46"/>
    <w:rsid w:val="00A8348D"/>
    <w:rsid w:val="00A86719"/>
    <w:rsid w:val="00A86947"/>
    <w:rsid w:val="00A86CDA"/>
    <w:rsid w:val="00A86D35"/>
    <w:rsid w:val="00A90C60"/>
    <w:rsid w:val="00A92838"/>
    <w:rsid w:val="00A93268"/>
    <w:rsid w:val="00A942A9"/>
    <w:rsid w:val="00A9597D"/>
    <w:rsid w:val="00A95D8B"/>
    <w:rsid w:val="00AA1853"/>
    <w:rsid w:val="00AA4C3E"/>
    <w:rsid w:val="00AA5061"/>
    <w:rsid w:val="00AA5605"/>
    <w:rsid w:val="00AA617C"/>
    <w:rsid w:val="00AB21FB"/>
    <w:rsid w:val="00AB33C7"/>
    <w:rsid w:val="00AB6197"/>
    <w:rsid w:val="00AB62F3"/>
    <w:rsid w:val="00AB6FED"/>
    <w:rsid w:val="00AC0270"/>
    <w:rsid w:val="00AC1B85"/>
    <w:rsid w:val="00AC1D88"/>
    <w:rsid w:val="00AC1FF4"/>
    <w:rsid w:val="00AC23AB"/>
    <w:rsid w:val="00AC27F6"/>
    <w:rsid w:val="00AC30D8"/>
    <w:rsid w:val="00AC35F0"/>
    <w:rsid w:val="00AC3EA3"/>
    <w:rsid w:val="00AC43B9"/>
    <w:rsid w:val="00AC4C0B"/>
    <w:rsid w:val="00AC792D"/>
    <w:rsid w:val="00AD01F6"/>
    <w:rsid w:val="00AD08E4"/>
    <w:rsid w:val="00AD13BB"/>
    <w:rsid w:val="00AD2450"/>
    <w:rsid w:val="00AD37EF"/>
    <w:rsid w:val="00AE1A6F"/>
    <w:rsid w:val="00AE2C0E"/>
    <w:rsid w:val="00AE39EA"/>
    <w:rsid w:val="00AE41DF"/>
    <w:rsid w:val="00AE66A6"/>
    <w:rsid w:val="00AE6B7B"/>
    <w:rsid w:val="00AE6BE3"/>
    <w:rsid w:val="00AE70B6"/>
    <w:rsid w:val="00AF11C9"/>
    <w:rsid w:val="00AF13F1"/>
    <w:rsid w:val="00AF4388"/>
    <w:rsid w:val="00AF4F18"/>
    <w:rsid w:val="00B00345"/>
    <w:rsid w:val="00B016D1"/>
    <w:rsid w:val="00B0203E"/>
    <w:rsid w:val="00B0312D"/>
    <w:rsid w:val="00B04644"/>
    <w:rsid w:val="00B0499E"/>
    <w:rsid w:val="00B04E04"/>
    <w:rsid w:val="00B05948"/>
    <w:rsid w:val="00B06452"/>
    <w:rsid w:val="00B067B7"/>
    <w:rsid w:val="00B07BA1"/>
    <w:rsid w:val="00B1071C"/>
    <w:rsid w:val="00B11382"/>
    <w:rsid w:val="00B116CD"/>
    <w:rsid w:val="00B12427"/>
    <w:rsid w:val="00B270E6"/>
    <w:rsid w:val="00B301B0"/>
    <w:rsid w:val="00B32501"/>
    <w:rsid w:val="00B340CD"/>
    <w:rsid w:val="00B3422A"/>
    <w:rsid w:val="00B34A51"/>
    <w:rsid w:val="00B358C2"/>
    <w:rsid w:val="00B419A8"/>
    <w:rsid w:val="00B41F80"/>
    <w:rsid w:val="00B42738"/>
    <w:rsid w:val="00B42CB7"/>
    <w:rsid w:val="00B42FD0"/>
    <w:rsid w:val="00B44E3E"/>
    <w:rsid w:val="00B4571E"/>
    <w:rsid w:val="00B45F5D"/>
    <w:rsid w:val="00B522E1"/>
    <w:rsid w:val="00B53ECA"/>
    <w:rsid w:val="00B53F38"/>
    <w:rsid w:val="00B54023"/>
    <w:rsid w:val="00B5422E"/>
    <w:rsid w:val="00B552F0"/>
    <w:rsid w:val="00B56844"/>
    <w:rsid w:val="00B61B2F"/>
    <w:rsid w:val="00B62565"/>
    <w:rsid w:val="00B62F84"/>
    <w:rsid w:val="00B6452A"/>
    <w:rsid w:val="00B65439"/>
    <w:rsid w:val="00B657B8"/>
    <w:rsid w:val="00B65D14"/>
    <w:rsid w:val="00B67256"/>
    <w:rsid w:val="00B67B01"/>
    <w:rsid w:val="00B72385"/>
    <w:rsid w:val="00B72639"/>
    <w:rsid w:val="00B7476F"/>
    <w:rsid w:val="00B759D2"/>
    <w:rsid w:val="00B76347"/>
    <w:rsid w:val="00B77970"/>
    <w:rsid w:val="00B815AD"/>
    <w:rsid w:val="00B83086"/>
    <w:rsid w:val="00B83371"/>
    <w:rsid w:val="00B839FF"/>
    <w:rsid w:val="00B83B7B"/>
    <w:rsid w:val="00B84920"/>
    <w:rsid w:val="00B8556A"/>
    <w:rsid w:val="00B872C8"/>
    <w:rsid w:val="00B87381"/>
    <w:rsid w:val="00B9014D"/>
    <w:rsid w:val="00B90BD1"/>
    <w:rsid w:val="00B91C6C"/>
    <w:rsid w:val="00B920EC"/>
    <w:rsid w:val="00BA16CE"/>
    <w:rsid w:val="00BA1EAF"/>
    <w:rsid w:val="00BA4EAA"/>
    <w:rsid w:val="00BA51E9"/>
    <w:rsid w:val="00BA5773"/>
    <w:rsid w:val="00BA5AB2"/>
    <w:rsid w:val="00BB0415"/>
    <w:rsid w:val="00BB04E6"/>
    <w:rsid w:val="00BB0BDD"/>
    <w:rsid w:val="00BB22DA"/>
    <w:rsid w:val="00BB308D"/>
    <w:rsid w:val="00BB3FDC"/>
    <w:rsid w:val="00BB4574"/>
    <w:rsid w:val="00BB4905"/>
    <w:rsid w:val="00BB5F6C"/>
    <w:rsid w:val="00BB6946"/>
    <w:rsid w:val="00BB6BA9"/>
    <w:rsid w:val="00BB7595"/>
    <w:rsid w:val="00BB77D9"/>
    <w:rsid w:val="00BC0C2A"/>
    <w:rsid w:val="00BC0D78"/>
    <w:rsid w:val="00BC115B"/>
    <w:rsid w:val="00BC17D9"/>
    <w:rsid w:val="00BC231D"/>
    <w:rsid w:val="00BC50A6"/>
    <w:rsid w:val="00BC71BB"/>
    <w:rsid w:val="00BD1997"/>
    <w:rsid w:val="00BD1AEC"/>
    <w:rsid w:val="00BD20F4"/>
    <w:rsid w:val="00BD4660"/>
    <w:rsid w:val="00BD6C13"/>
    <w:rsid w:val="00BE0430"/>
    <w:rsid w:val="00BE0E1B"/>
    <w:rsid w:val="00BE1848"/>
    <w:rsid w:val="00BE50DD"/>
    <w:rsid w:val="00BE7F0D"/>
    <w:rsid w:val="00BF14AE"/>
    <w:rsid w:val="00BF18AF"/>
    <w:rsid w:val="00BF3566"/>
    <w:rsid w:val="00BF36E5"/>
    <w:rsid w:val="00BF39E5"/>
    <w:rsid w:val="00BF4B83"/>
    <w:rsid w:val="00BF5B6B"/>
    <w:rsid w:val="00C008B7"/>
    <w:rsid w:val="00C00AB1"/>
    <w:rsid w:val="00C012A3"/>
    <w:rsid w:val="00C0199D"/>
    <w:rsid w:val="00C01F01"/>
    <w:rsid w:val="00C0313F"/>
    <w:rsid w:val="00C036E2"/>
    <w:rsid w:val="00C03896"/>
    <w:rsid w:val="00C0406D"/>
    <w:rsid w:val="00C061D4"/>
    <w:rsid w:val="00C06BBF"/>
    <w:rsid w:val="00C07CA5"/>
    <w:rsid w:val="00C1164A"/>
    <w:rsid w:val="00C12207"/>
    <w:rsid w:val="00C156F9"/>
    <w:rsid w:val="00C15CF0"/>
    <w:rsid w:val="00C15F6A"/>
    <w:rsid w:val="00C16F19"/>
    <w:rsid w:val="00C2167B"/>
    <w:rsid w:val="00C227ED"/>
    <w:rsid w:val="00C2318A"/>
    <w:rsid w:val="00C23DD7"/>
    <w:rsid w:val="00C2463A"/>
    <w:rsid w:val="00C2525B"/>
    <w:rsid w:val="00C316BB"/>
    <w:rsid w:val="00C3269F"/>
    <w:rsid w:val="00C334CE"/>
    <w:rsid w:val="00C33910"/>
    <w:rsid w:val="00C33B46"/>
    <w:rsid w:val="00C3401C"/>
    <w:rsid w:val="00C34875"/>
    <w:rsid w:val="00C34D83"/>
    <w:rsid w:val="00C35CFC"/>
    <w:rsid w:val="00C40623"/>
    <w:rsid w:val="00C41C3F"/>
    <w:rsid w:val="00C43AD3"/>
    <w:rsid w:val="00C462E5"/>
    <w:rsid w:val="00C51938"/>
    <w:rsid w:val="00C52A7B"/>
    <w:rsid w:val="00C54226"/>
    <w:rsid w:val="00C54E4D"/>
    <w:rsid w:val="00C56577"/>
    <w:rsid w:val="00C60746"/>
    <w:rsid w:val="00C6140F"/>
    <w:rsid w:val="00C6292F"/>
    <w:rsid w:val="00C62F5D"/>
    <w:rsid w:val="00C62F63"/>
    <w:rsid w:val="00C6324C"/>
    <w:rsid w:val="00C640A0"/>
    <w:rsid w:val="00C65B64"/>
    <w:rsid w:val="00C679AA"/>
    <w:rsid w:val="00C67C6E"/>
    <w:rsid w:val="00C67E84"/>
    <w:rsid w:val="00C70186"/>
    <w:rsid w:val="00C710D0"/>
    <w:rsid w:val="00C72178"/>
    <w:rsid w:val="00C724CF"/>
    <w:rsid w:val="00C729DF"/>
    <w:rsid w:val="00C74B6E"/>
    <w:rsid w:val="00C7551B"/>
    <w:rsid w:val="00C7555B"/>
    <w:rsid w:val="00C75972"/>
    <w:rsid w:val="00C75B0B"/>
    <w:rsid w:val="00C77868"/>
    <w:rsid w:val="00C80F8F"/>
    <w:rsid w:val="00C81955"/>
    <w:rsid w:val="00C82792"/>
    <w:rsid w:val="00C83147"/>
    <w:rsid w:val="00C8684E"/>
    <w:rsid w:val="00C87980"/>
    <w:rsid w:val="00C935AC"/>
    <w:rsid w:val="00C948FD"/>
    <w:rsid w:val="00C9493B"/>
    <w:rsid w:val="00C9612A"/>
    <w:rsid w:val="00C9675D"/>
    <w:rsid w:val="00C96E04"/>
    <w:rsid w:val="00C97BE8"/>
    <w:rsid w:val="00CA2476"/>
    <w:rsid w:val="00CA32BC"/>
    <w:rsid w:val="00CA4845"/>
    <w:rsid w:val="00CA74D7"/>
    <w:rsid w:val="00CA78F5"/>
    <w:rsid w:val="00CB04B5"/>
    <w:rsid w:val="00CB3492"/>
    <w:rsid w:val="00CB43D5"/>
    <w:rsid w:val="00CB57A5"/>
    <w:rsid w:val="00CC082D"/>
    <w:rsid w:val="00CC1339"/>
    <w:rsid w:val="00CC6D35"/>
    <w:rsid w:val="00CC76F9"/>
    <w:rsid w:val="00CC7AAF"/>
    <w:rsid w:val="00CD066B"/>
    <w:rsid w:val="00CD267A"/>
    <w:rsid w:val="00CD46E2"/>
    <w:rsid w:val="00CD4EC3"/>
    <w:rsid w:val="00CE0B2A"/>
    <w:rsid w:val="00CE0D3A"/>
    <w:rsid w:val="00CE75C1"/>
    <w:rsid w:val="00CF101D"/>
    <w:rsid w:val="00CF4B1F"/>
    <w:rsid w:val="00CF4BDE"/>
    <w:rsid w:val="00D004C1"/>
    <w:rsid w:val="00D00D0B"/>
    <w:rsid w:val="00D019F6"/>
    <w:rsid w:val="00D035FD"/>
    <w:rsid w:val="00D0368C"/>
    <w:rsid w:val="00D04B69"/>
    <w:rsid w:val="00D057EE"/>
    <w:rsid w:val="00D061F4"/>
    <w:rsid w:val="00D07826"/>
    <w:rsid w:val="00D1040C"/>
    <w:rsid w:val="00D10CE3"/>
    <w:rsid w:val="00D12334"/>
    <w:rsid w:val="00D12884"/>
    <w:rsid w:val="00D21732"/>
    <w:rsid w:val="00D21DFC"/>
    <w:rsid w:val="00D230BD"/>
    <w:rsid w:val="00D2415A"/>
    <w:rsid w:val="00D24268"/>
    <w:rsid w:val="00D30978"/>
    <w:rsid w:val="00D32D24"/>
    <w:rsid w:val="00D33E97"/>
    <w:rsid w:val="00D41A72"/>
    <w:rsid w:val="00D41DCA"/>
    <w:rsid w:val="00D42A9D"/>
    <w:rsid w:val="00D456C2"/>
    <w:rsid w:val="00D478F0"/>
    <w:rsid w:val="00D51CE0"/>
    <w:rsid w:val="00D537FA"/>
    <w:rsid w:val="00D53998"/>
    <w:rsid w:val="00D53A11"/>
    <w:rsid w:val="00D5435D"/>
    <w:rsid w:val="00D54EFD"/>
    <w:rsid w:val="00D5547D"/>
    <w:rsid w:val="00D56507"/>
    <w:rsid w:val="00D566CB"/>
    <w:rsid w:val="00D57250"/>
    <w:rsid w:val="00D61E09"/>
    <w:rsid w:val="00D634D5"/>
    <w:rsid w:val="00D64859"/>
    <w:rsid w:val="00D64E37"/>
    <w:rsid w:val="00D65048"/>
    <w:rsid w:val="00D65F06"/>
    <w:rsid w:val="00D66B63"/>
    <w:rsid w:val="00D67ABB"/>
    <w:rsid w:val="00D7072D"/>
    <w:rsid w:val="00D70D99"/>
    <w:rsid w:val="00D751DA"/>
    <w:rsid w:val="00D75879"/>
    <w:rsid w:val="00D7652C"/>
    <w:rsid w:val="00D76B62"/>
    <w:rsid w:val="00D76E47"/>
    <w:rsid w:val="00D76E4F"/>
    <w:rsid w:val="00D77619"/>
    <w:rsid w:val="00D776B8"/>
    <w:rsid w:val="00D777AF"/>
    <w:rsid w:val="00D80458"/>
    <w:rsid w:val="00D80D99"/>
    <w:rsid w:val="00D856C0"/>
    <w:rsid w:val="00D85814"/>
    <w:rsid w:val="00D91CF6"/>
    <w:rsid w:val="00D932DE"/>
    <w:rsid w:val="00D94BA6"/>
    <w:rsid w:val="00D9503C"/>
    <w:rsid w:val="00D95257"/>
    <w:rsid w:val="00D9541B"/>
    <w:rsid w:val="00D9568B"/>
    <w:rsid w:val="00D95986"/>
    <w:rsid w:val="00D97810"/>
    <w:rsid w:val="00D97CB9"/>
    <w:rsid w:val="00DA06B6"/>
    <w:rsid w:val="00DA5A41"/>
    <w:rsid w:val="00DA69DF"/>
    <w:rsid w:val="00DB2249"/>
    <w:rsid w:val="00DB2FA9"/>
    <w:rsid w:val="00DB3032"/>
    <w:rsid w:val="00DB328F"/>
    <w:rsid w:val="00DB67BD"/>
    <w:rsid w:val="00DB7402"/>
    <w:rsid w:val="00DC0849"/>
    <w:rsid w:val="00DC1FD6"/>
    <w:rsid w:val="00DC2693"/>
    <w:rsid w:val="00DC27BB"/>
    <w:rsid w:val="00DC34D5"/>
    <w:rsid w:val="00DC4349"/>
    <w:rsid w:val="00DC6B81"/>
    <w:rsid w:val="00DD1AF0"/>
    <w:rsid w:val="00DD2295"/>
    <w:rsid w:val="00DD2AF9"/>
    <w:rsid w:val="00DD3652"/>
    <w:rsid w:val="00DD508E"/>
    <w:rsid w:val="00DD5A0B"/>
    <w:rsid w:val="00DD5A15"/>
    <w:rsid w:val="00DD691C"/>
    <w:rsid w:val="00DD73EF"/>
    <w:rsid w:val="00DE1111"/>
    <w:rsid w:val="00DE23C4"/>
    <w:rsid w:val="00DE23E8"/>
    <w:rsid w:val="00DE25DC"/>
    <w:rsid w:val="00DE4F46"/>
    <w:rsid w:val="00DE5138"/>
    <w:rsid w:val="00DE59B7"/>
    <w:rsid w:val="00DE6E47"/>
    <w:rsid w:val="00DE73F9"/>
    <w:rsid w:val="00DE747D"/>
    <w:rsid w:val="00DF0454"/>
    <w:rsid w:val="00DF0C69"/>
    <w:rsid w:val="00DF29FC"/>
    <w:rsid w:val="00DF2D1C"/>
    <w:rsid w:val="00DF2FEE"/>
    <w:rsid w:val="00DF5084"/>
    <w:rsid w:val="00DF736A"/>
    <w:rsid w:val="00E0128B"/>
    <w:rsid w:val="00E01541"/>
    <w:rsid w:val="00E0320D"/>
    <w:rsid w:val="00E04721"/>
    <w:rsid w:val="00E05A21"/>
    <w:rsid w:val="00E116DA"/>
    <w:rsid w:val="00E11990"/>
    <w:rsid w:val="00E13F7D"/>
    <w:rsid w:val="00E143A8"/>
    <w:rsid w:val="00E172DF"/>
    <w:rsid w:val="00E2107F"/>
    <w:rsid w:val="00E211F0"/>
    <w:rsid w:val="00E222AC"/>
    <w:rsid w:val="00E240E6"/>
    <w:rsid w:val="00E24200"/>
    <w:rsid w:val="00E24FE0"/>
    <w:rsid w:val="00E25A50"/>
    <w:rsid w:val="00E25E6D"/>
    <w:rsid w:val="00E30C51"/>
    <w:rsid w:val="00E3224B"/>
    <w:rsid w:val="00E33E5D"/>
    <w:rsid w:val="00E34241"/>
    <w:rsid w:val="00E34851"/>
    <w:rsid w:val="00E378F2"/>
    <w:rsid w:val="00E37FE6"/>
    <w:rsid w:val="00E4033A"/>
    <w:rsid w:val="00E4246B"/>
    <w:rsid w:val="00E42D3F"/>
    <w:rsid w:val="00E44929"/>
    <w:rsid w:val="00E4587E"/>
    <w:rsid w:val="00E45DC8"/>
    <w:rsid w:val="00E46E67"/>
    <w:rsid w:val="00E54D76"/>
    <w:rsid w:val="00E55142"/>
    <w:rsid w:val="00E555D1"/>
    <w:rsid w:val="00E57D59"/>
    <w:rsid w:val="00E60839"/>
    <w:rsid w:val="00E60B83"/>
    <w:rsid w:val="00E60F93"/>
    <w:rsid w:val="00E6252D"/>
    <w:rsid w:val="00E62750"/>
    <w:rsid w:val="00E63581"/>
    <w:rsid w:val="00E64B59"/>
    <w:rsid w:val="00E64D82"/>
    <w:rsid w:val="00E64E17"/>
    <w:rsid w:val="00E656D1"/>
    <w:rsid w:val="00E71797"/>
    <w:rsid w:val="00E72542"/>
    <w:rsid w:val="00E73BE9"/>
    <w:rsid w:val="00E75A76"/>
    <w:rsid w:val="00E778B0"/>
    <w:rsid w:val="00E84CAA"/>
    <w:rsid w:val="00E854AE"/>
    <w:rsid w:val="00E856BB"/>
    <w:rsid w:val="00E86995"/>
    <w:rsid w:val="00E87108"/>
    <w:rsid w:val="00E87655"/>
    <w:rsid w:val="00E87FBF"/>
    <w:rsid w:val="00E90275"/>
    <w:rsid w:val="00E92323"/>
    <w:rsid w:val="00E95074"/>
    <w:rsid w:val="00E96DDA"/>
    <w:rsid w:val="00EA1668"/>
    <w:rsid w:val="00EA1AFC"/>
    <w:rsid w:val="00EA2981"/>
    <w:rsid w:val="00EA3D3C"/>
    <w:rsid w:val="00EA5719"/>
    <w:rsid w:val="00EA6442"/>
    <w:rsid w:val="00EA79D8"/>
    <w:rsid w:val="00EB26DF"/>
    <w:rsid w:val="00EB41C1"/>
    <w:rsid w:val="00EB4A4A"/>
    <w:rsid w:val="00EB71D7"/>
    <w:rsid w:val="00EC0798"/>
    <w:rsid w:val="00EC08D3"/>
    <w:rsid w:val="00EC0D65"/>
    <w:rsid w:val="00EC1733"/>
    <w:rsid w:val="00EC2DBB"/>
    <w:rsid w:val="00EC7C65"/>
    <w:rsid w:val="00EC7CC3"/>
    <w:rsid w:val="00ED00BA"/>
    <w:rsid w:val="00ED0B1B"/>
    <w:rsid w:val="00ED0FC6"/>
    <w:rsid w:val="00ED26BF"/>
    <w:rsid w:val="00ED32AC"/>
    <w:rsid w:val="00ED38B8"/>
    <w:rsid w:val="00ED3911"/>
    <w:rsid w:val="00ED3C58"/>
    <w:rsid w:val="00ED44BC"/>
    <w:rsid w:val="00ED4F44"/>
    <w:rsid w:val="00ED53FB"/>
    <w:rsid w:val="00ED5CAB"/>
    <w:rsid w:val="00ED7635"/>
    <w:rsid w:val="00ED7683"/>
    <w:rsid w:val="00EE0508"/>
    <w:rsid w:val="00EE2826"/>
    <w:rsid w:val="00EE2A27"/>
    <w:rsid w:val="00EE2AC0"/>
    <w:rsid w:val="00EE4451"/>
    <w:rsid w:val="00EF1513"/>
    <w:rsid w:val="00EF1BB6"/>
    <w:rsid w:val="00EF21F3"/>
    <w:rsid w:val="00EF3C08"/>
    <w:rsid w:val="00EF40B8"/>
    <w:rsid w:val="00EF5402"/>
    <w:rsid w:val="00EF5572"/>
    <w:rsid w:val="00EF5BE5"/>
    <w:rsid w:val="00EF7D32"/>
    <w:rsid w:val="00F00432"/>
    <w:rsid w:val="00F00835"/>
    <w:rsid w:val="00F008A6"/>
    <w:rsid w:val="00F0095C"/>
    <w:rsid w:val="00F00CA3"/>
    <w:rsid w:val="00F013AB"/>
    <w:rsid w:val="00F04126"/>
    <w:rsid w:val="00F0654B"/>
    <w:rsid w:val="00F073B5"/>
    <w:rsid w:val="00F10B9F"/>
    <w:rsid w:val="00F128F5"/>
    <w:rsid w:val="00F12F82"/>
    <w:rsid w:val="00F13301"/>
    <w:rsid w:val="00F137AC"/>
    <w:rsid w:val="00F15194"/>
    <w:rsid w:val="00F16E8C"/>
    <w:rsid w:val="00F179D7"/>
    <w:rsid w:val="00F302D5"/>
    <w:rsid w:val="00F328CF"/>
    <w:rsid w:val="00F32E9D"/>
    <w:rsid w:val="00F36E26"/>
    <w:rsid w:val="00F40F70"/>
    <w:rsid w:val="00F41359"/>
    <w:rsid w:val="00F44009"/>
    <w:rsid w:val="00F445B8"/>
    <w:rsid w:val="00F44F8E"/>
    <w:rsid w:val="00F4528C"/>
    <w:rsid w:val="00F46494"/>
    <w:rsid w:val="00F46ADD"/>
    <w:rsid w:val="00F50F29"/>
    <w:rsid w:val="00F51E40"/>
    <w:rsid w:val="00F5521C"/>
    <w:rsid w:val="00F558AB"/>
    <w:rsid w:val="00F55B6C"/>
    <w:rsid w:val="00F5693A"/>
    <w:rsid w:val="00F56BE3"/>
    <w:rsid w:val="00F60AE8"/>
    <w:rsid w:val="00F612C0"/>
    <w:rsid w:val="00F614D3"/>
    <w:rsid w:val="00F61D89"/>
    <w:rsid w:val="00F6255B"/>
    <w:rsid w:val="00F62760"/>
    <w:rsid w:val="00F648BF"/>
    <w:rsid w:val="00F64ED3"/>
    <w:rsid w:val="00F70ADF"/>
    <w:rsid w:val="00F76B36"/>
    <w:rsid w:val="00F7783A"/>
    <w:rsid w:val="00F81282"/>
    <w:rsid w:val="00F84AB1"/>
    <w:rsid w:val="00F84E6B"/>
    <w:rsid w:val="00F85623"/>
    <w:rsid w:val="00F85817"/>
    <w:rsid w:val="00F86ABB"/>
    <w:rsid w:val="00F86C25"/>
    <w:rsid w:val="00F86C75"/>
    <w:rsid w:val="00F87DDA"/>
    <w:rsid w:val="00F90611"/>
    <w:rsid w:val="00F91A00"/>
    <w:rsid w:val="00F91E56"/>
    <w:rsid w:val="00F920A6"/>
    <w:rsid w:val="00F937B5"/>
    <w:rsid w:val="00F954E4"/>
    <w:rsid w:val="00F95901"/>
    <w:rsid w:val="00F9635C"/>
    <w:rsid w:val="00F96B27"/>
    <w:rsid w:val="00FA2186"/>
    <w:rsid w:val="00FA2229"/>
    <w:rsid w:val="00FA4FB6"/>
    <w:rsid w:val="00FA50C7"/>
    <w:rsid w:val="00FA652C"/>
    <w:rsid w:val="00FA6686"/>
    <w:rsid w:val="00FA6912"/>
    <w:rsid w:val="00FA7CBE"/>
    <w:rsid w:val="00FB277A"/>
    <w:rsid w:val="00FB5242"/>
    <w:rsid w:val="00FB6FA7"/>
    <w:rsid w:val="00FB7380"/>
    <w:rsid w:val="00FC0D6D"/>
    <w:rsid w:val="00FC1804"/>
    <w:rsid w:val="00FC3D30"/>
    <w:rsid w:val="00FC4A47"/>
    <w:rsid w:val="00FC5115"/>
    <w:rsid w:val="00FC5AD5"/>
    <w:rsid w:val="00FC6099"/>
    <w:rsid w:val="00FD0C3D"/>
    <w:rsid w:val="00FD174D"/>
    <w:rsid w:val="00FD2777"/>
    <w:rsid w:val="00FD322F"/>
    <w:rsid w:val="00FD4AE0"/>
    <w:rsid w:val="00FD531B"/>
    <w:rsid w:val="00FD5454"/>
    <w:rsid w:val="00FD6D19"/>
    <w:rsid w:val="00FD71CB"/>
    <w:rsid w:val="00FD7648"/>
    <w:rsid w:val="00FE080A"/>
    <w:rsid w:val="00FE0D2F"/>
    <w:rsid w:val="00FE190C"/>
    <w:rsid w:val="00FE2F11"/>
    <w:rsid w:val="00FE4B91"/>
    <w:rsid w:val="00FE4D16"/>
    <w:rsid w:val="00FE54DA"/>
    <w:rsid w:val="00FE5AFB"/>
    <w:rsid w:val="00FE762B"/>
    <w:rsid w:val="00FE7CFF"/>
    <w:rsid w:val="00FF25EF"/>
    <w:rsid w:val="00FF3870"/>
    <w:rsid w:val="00FF4030"/>
    <w:rsid w:val="00FF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DE24425-79D9-4B68-9183-29F9EE69E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lang w:val="en-CA"/>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DE25DC"/>
    <w:rPr>
      <w:color w:val="605E5C"/>
      <w:shd w:val="clear" w:color="auto" w:fill="E1DFDD"/>
    </w:rPr>
  </w:style>
  <w:style w:type="character" w:customStyle="1" w:styleId="UnresolvedMention2">
    <w:name w:val="Unresolved Mention2"/>
    <w:basedOn w:val="DefaultParagraphFont"/>
    <w:uiPriority w:val="99"/>
    <w:semiHidden/>
    <w:unhideWhenUsed/>
    <w:rsid w:val="000B436D"/>
    <w:rPr>
      <w:color w:val="605E5C"/>
      <w:shd w:val="clear" w:color="auto" w:fill="E1DFDD"/>
    </w:rPr>
  </w:style>
  <w:style w:type="paragraph" w:customStyle="1" w:styleId="BCAuthorAddress">
    <w:name w:val="BC_Author_Address"/>
    <w:basedOn w:val="Normal"/>
    <w:next w:val="Normal"/>
    <w:rsid w:val="00140CDD"/>
    <w:pPr>
      <w:spacing w:before="0" w:line="480" w:lineRule="auto"/>
      <w:jc w:val="center"/>
    </w:pPr>
    <w:rPr>
      <w:rFonts w:ascii="Times" w:eastAsia="Times New Roman" w:hAnsi="Times" w:cs="Times New Roman"/>
      <w:szCs w:val="20"/>
    </w:rPr>
  </w:style>
  <w:style w:type="paragraph" w:customStyle="1" w:styleId="FACorrespondingAuthorFootnote">
    <w:name w:val="FA_Corresponding_Author_Footnote"/>
    <w:basedOn w:val="Normal"/>
    <w:next w:val="Normal"/>
    <w:rsid w:val="00140CDD"/>
    <w:pPr>
      <w:spacing w:before="0" w:after="200" w:line="480" w:lineRule="auto"/>
      <w:jc w:val="both"/>
    </w:pPr>
    <w:rPr>
      <w:rFonts w:ascii="Times" w:eastAsia="Times New Roman" w:hAnsi="Times" w:cs="Times New Roman"/>
      <w:szCs w:val="20"/>
    </w:rPr>
  </w:style>
  <w:style w:type="character" w:customStyle="1" w:styleId="FAAuthorInfoSubtitleChar">
    <w:name w:val="FA_Author_Info_Subtitle Char"/>
    <w:link w:val="FAAuthorInfoSubtitle"/>
    <w:locked/>
    <w:rsid w:val="00140CDD"/>
    <w:rPr>
      <w:rFonts w:ascii="Times" w:hAnsi="Times" w:cs="Times"/>
      <w:b/>
      <w:sz w:val="24"/>
      <w:lang w:val="en-CA"/>
    </w:rPr>
  </w:style>
  <w:style w:type="paragraph" w:customStyle="1" w:styleId="FAAuthorInfoSubtitle">
    <w:name w:val="FA_Author_Info_Subtitle"/>
    <w:basedOn w:val="Normal"/>
    <w:link w:val="FAAuthorInfoSubtitleChar"/>
    <w:autoRedefine/>
    <w:rsid w:val="00140CDD"/>
    <w:pPr>
      <w:spacing w:after="60" w:line="480" w:lineRule="auto"/>
    </w:pPr>
    <w:rPr>
      <w:rFonts w:ascii="Times" w:hAnsi="Times" w:cs="Times"/>
      <w:b/>
    </w:rPr>
  </w:style>
  <w:style w:type="character" w:styleId="UnresolvedMention">
    <w:name w:val="Unresolved Mention"/>
    <w:basedOn w:val="DefaultParagraphFont"/>
    <w:uiPriority w:val="99"/>
    <w:semiHidden/>
    <w:unhideWhenUsed/>
    <w:rsid w:val="00D77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15374226">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37854303">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77999206">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50962620">
      <w:bodyDiv w:val="1"/>
      <w:marLeft w:val="0"/>
      <w:marRight w:val="0"/>
      <w:marTop w:val="0"/>
      <w:marBottom w:val="0"/>
      <w:divBdr>
        <w:top w:val="none" w:sz="0" w:space="0" w:color="auto"/>
        <w:left w:val="none" w:sz="0" w:space="0" w:color="auto"/>
        <w:bottom w:val="none" w:sz="0" w:space="0" w:color="auto"/>
        <w:right w:val="none" w:sz="0" w:space="0" w:color="auto"/>
      </w:divBdr>
    </w:div>
    <w:div w:id="1115060542">
      <w:bodyDiv w:val="1"/>
      <w:marLeft w:val="0"/>
      <w:marRight w:val="0"/>
      <w:marTop w:val="0"/>
      <w:marBottom w:val="0"/>
      <w:divBdr>
        <w:top w:val="none" w:sz="0" w:space="0" w:color="auto"/>
        <w:left w:val="none" w:sz="0" w:space="0" w:color="auto"/>
        <w:bottom w:val="none" w:sz="0" w:space="0" w:color="auto"/>
        <w:right w:val="none" w:sz="0" w:space="0" w:color="auto"/>
      </w:divBdr>
    </w:div>
    <w:div w:id="1179735334">
      <w:bodyDiv w:val="1"/>
      <w:marLeft w:val="0"/>
      <w:marRight w:val="0"/>
      <w:marTop w:val="0"/>
      <w:marBottom w:val="0"/>
      <w:divBdr>
        <w:top w:val="none" w:sz="0" w:space="0" w:color="auto"/>
        <w:left w:val="none" w:sz="0" w:space="0" w:color="auto"/>
        <w:bottom w:val="none" w:sz="0" w:space="0" w:color="auto"/>
        <w:right w:val="none" w:sz="0" w:space="0" w:color="auto"/>
      </w:divBdr>
    </w:div>
    <w:div w:id="1717316580">
      <w:bodyDiv w:val="1"/>
      <w:marLeft w:val="0"/>
      <w:marRight w:val="0"/>
      <w:marTop w:val="0"/>
      <w:marBottom w:val="0"/>
      <w:divBdr>
        <w:top w:val="none" w:sz="0" w:space="0" w:color="auto"/>
        <w:left w:val="none" w:sz="0" w:space="0" w:color="auto"/>
        <w:bottom w:val="none" w:sz="0" w:space="0" w:color="auto"/>
        <w:right w:val="none" w:sz="0" w:space="0" w:color="auto"/>
      </w:divBdr>
    </w:div>
    <w:div w:id="185868961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22218302">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pellizzeri@ryerson.ca" TargetMode="Externa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BEFC580-120E-4C43-83D8-A984EC188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340</TotalTime>
  <Pages>17</Pages>
  <Words>27626</Words>
  <Characters>157470</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Impellizzeri</dc:creator>
  <cp:keywords/>
  <dc:description/>
  <cp:lastModifiedBy>Stefania Impellizzeri</cp:lastModifiedBy>
  <cp:revision>116</cp:revision>
  <cp:lastPrinted>2020-12-21T03:32:00Z</cp:lastPrinted>
  <dcterms:created xsi:type="dcterms:W3CDTF">2021-02-05T20:19:00Z</dcterms:created>
  <dcterms:modified xsi:type="dcterms:W3CDTF">2021-02-26T17:00:00Z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http://www.zotero.org/styles/frontiers-in-chemistry</vt:lpwstr>
  </property>
  <property fmtid="{D5CDD505-2E9C-101B-9397-08002B2CF9AE}" pid="11" name="Mendeley Recent Style Name 4_1">
    <vt:lpwstr>Frontiers in Chemistry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Citation Style_1">
    <vt:lpwstr>http://www.zotero.org/styles/angewandte-chemie</vt:lpwstr>
  </property>
  <property fmtid="{D5CDD505-2E9C-101B-9397-08002B2CF9AE}" pid="24" name="Mendeley Unique User Id_1">
    <vt:lpwstr>483d5f62-4c87-3406-b4c2-83420ed469da</vt:lpwstr>
  </property>
</Properties>
</file>